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16" w:rsidRDefault="00AD5E3E">
      <w:pPr>
        <w:widowControl/>
        <w:snapToGrid w:val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81915</wp:posOffset>
            </wp:positionV>
            <wp:extent cx="476250" cy="480695"/>
            <wp:effectExtent l="0" t="0" r="0" b="0"/>
            <wp:wrapNone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D16" w:rsidRDefault="00D93387" w:rsidP="00413F6E">
      <w:pPr>
        <w:widowControl/>
        <w:snapToGrid w:val="0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中山大学广州</w:t>
      </w:r>
      <w:r w:rsidR="00AD5E3E">
        <w:rPr>
          <w:rFonts w:hint="eastAsia"/>
          <w:b/>
          <w:sz w:val="36"/>
          <w:szCs w:val="36"/>
        </w:rPr>
        <w:t>东校园明德学生活动中心使用须知</w:t>
      </w:r>
    </w:p>
    <w:p w:rsidR="001D2D16" w:rsidRDefault="001D2D16">
      <w:pPr>
        <w:widowControl/>
        <w:snapToGrid w:val="0"/>
        <w:jc w:val="center"/>
        <w:rPr>
          <w:b/>
          <w:sz w:val="10"/>
          <w:szCs w:val="10"/>
        </w:rPr>
      </w:pPr>
    </w:p>
    <w:p w:rsidR="001D2D16" w:rsidRDefault="00AD5E3E" w:rsidP="00413F6E">
      <w:pPr>
        <w:widowControl/>
        <w:numPr>
          <w:ilvl w:val="0"/>
          <w:numId w:val="1"/>
        </w:numPr>
        <w:snapToGrid w:val="0"/>
        <w:spacing w:line="360" w:lineRule="auto"/>
        <w:jc w:val="left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明德</w:t>
      </w:r>
      <w:r w:rsidR="00C24964">
        <w:rPr>
          <w:rFonts w:ascii="仿宋_GB2312" w:eastAsia="仿宋_GB2312" w:hint="eastAsia"/>
          <w:b/>
          <w:sz w:val="28"/>
          <w:szCs w:val="28"/>
        </w:rPr>
        <w:t>学生</w:t>
      </w:r>
      <w:r>
        <w:rPr>
          <w:rFonts w:ascii="仿宋_GB2312" w:eastAsia="仿宋_GB2312" w:hint="eastAsia"/>
          <w:b/>
          <w:sz w:val="28"/>
          <w:szCs w:val="28"/>
        </w:rPr>
        <w:t>活动中心申请者须知</w:t>
      </w:r>
    </w:p>
    <w:p w:rsidR="001D2D16" w:rsidRDefault="00C24964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 w:rsidRPr="00283CC0">
        <w:rPr>
          <w:rFonts w:hint="eastAsia"/>
          <w:b/>
          <w:sz w:val="24"/>
        </w:rPr>
        <w:t>认真阅读本使用须知，</w:t>
      </w:r>
      <w:r w:rsidR="00FB4AF2" w:rsidRPr="00283CC0">
        <w:rPr>
          <w:rFonts w:hint="eastAsia"/>
          <w:b/>
          <w:sz w:val="24"/>
        </w:rPr>
        <w:t>负责人有义务告知己方工作人员相关的活动中心规定和条例</w:t>
      </w:r>
      <w:r w:rsidR="00DD5D3E" w:rsidRPr="00283CC0">
        <w:rPr>
          <w:rFonts w:hint="eastAsia"/>
          <w:b/>
          <w:sz w:val="24"/>
        </w:rPr>
        <w:t>，尤其是处罚条例</w:t>
      </w:r>
      <w:r w:rsidR="00FB4AF2">
        <w:rPr>
          <w:rFonts w:hint="eastAsia"/>
          <w:szCs w:val="21"/>
        </w:rPr>
        <w:t>。</w:t>
      </w:r>
      <w:r w:rsidR="005C794C">
        <w:rPr>
          <w:rFonts w:hint="eastAsia"/>
          <w:szCs w:val="21"/>
        </w:rPr>
        <w:t>负责人签字表示严格遵守本须知</w:t>
      </w:r>
      <w:r w:rsidR="00FB4AF2">
        <w:rPr>
          <w:rFonts w:hint="eastAsia"/>
          <w:szCs w:val="21"/>
        </w:rPr>
        <w:t>。</w:t>
      </w:r>
    </w:p>
    <w:p w:rsidR="001D2D16" w:rsidRPr="00D93387" w:rsidRDefault="00D93387" w:rsidP="00D93387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明德学生活动中心（以下简称活动中心）申请者须填写《中山大学广州东校园明德学生活动中心申请表》（一式两份）和使用须知（一式两份）</w:t>
      </w:r>
      <w:r w:rsidRPr="00D93387">
        <w:rPr>
          <w:rFonts w:hint="eastAsia"/>
          <w:szCs w:val="21"/>
        </w:rPr>
        <w:t>。</w:t>
      </w:r>
      <w:r w:rsidR="006D56A9">
        <w:rPr>
          <w:rFonts w:hint="eastAsia"/>
          <w:szCs w:val="21"/>
        </w:rPr>
        <w:t>填写后上交至东校园团工委</w:t>
      </w:r>
      <w:r>
        <w:rPr>
          <w:rFonts w:hint="eastAsia"/>
          <w:szCs w:val="21"/>
        </w:rPr>
        <w:t>办公室</w:t>
      </w:r>
      <w:r w:rsidR="008C4B69">
        <w:rPr>
          <w:rFonts w:hint="eastAsia"/>
          <w:szCs w:val="21"/>
        </w:rPr>
        <w:t>（明德园</w:t>
      </w:r>
      <w:r w:rsidR="00084B37">
        <w:rPr>
          <w:rFonts w:hint="eastAsia"/>
          <w:szCs w:val="21"/>
        </w:rPr>
        <w:t>六</w:t>
      </w:r>
      <w:r w:rsidR="008C4B69">
        <w:rPr>
          <w:rFonts w:hint="eastAsia"/>
          <w:szCs w:val="21"/>
        </w:rPr>
        <w:t>号</w:t>
      </w:r>
      <w:r w:rsidR="008C4B69">
        <w:rPr>
          <w:rFonts w:hint="eastAsia"/>
          <w:szCs w:val="21"/>
        </w:rPr>
        <w:t>3</w:t>
      </w:r>
      <w:r w:rsidR="008C4B69">
        <w:rPr>
          <w:rFonts w:hint="eastAsia"/>
          <w:szCs w:val="21"/>
        </w:rPr>
        <w:t>楼</w:t>
      </w:r>
      <w:r w:rsidR="008C4B69">
        <w:rPr>
          <w:rFonts w:hint="eastAsia"/>
          <w:szCs w:val="21"/>
        </w:rPr>
        <w:t>321</w:t>
      </w:r>
      <w:r w:rsidR="008C4B69">
        <w:rPr>
          <w:rFonts w:hint="eastAsia"/>
          <w:szCs w:val="21"/>
        </w:rPr>
        <w:t>）</w:t>
      </w:r>
      <w:r>
        <w:rPr>
          <w:rFonts w:hint="eastAsia"/>
          <w:szCs w:val="21"/>
        </w:rPr>
        <w:t>，并上交活动策划书一份</w:t>
      </w:r>
      <w:r w:rsidR="00936B86">
        <w:rPr>
          <w:rFonts w:hint="eastAsia"/>
          <w:szCs w:val="21"/>
        </w:rPr>
        <w:t>，</w:t>
      </w:r>
      <w:r w:rsidR="008C4B69">
        <w:rPr>
          <w:rFonts w:hint="eastAsia"/>
          <w:szCs w:val="21"/>
        </w:rPr>
        <w:t>策划书</w:t>
      </w:r>
      <w:r w:rsidR="00936B86" w:rsidRPr="00D93387">
        <w:rPr>
          <w:rFonts w:hint="eastAsia"/>
          <w:szCs w:val="21"/>
        </w:rPr>
        <w:t>须有学院辅导员或社团指导老师</w:t>
      </w:r>
      <w:r w:rsidR="00936B86">
        <w:rPr>
          <w:rFonts w:hint="eastAsia"/>
          <w:szCs w:val="21"/>
        </w:rPr>
        <w:t>签字</w:t>
      </w:r>
      <w:r w:rsidR="00936B86" w:rsidRPr="00D93387">
        <w:rPr>
          <w:rFonts w:hint="eastAsia"/>
          <w:szCs w:val="21"/>
        </w:rPr>
        <w:t>盖章</w:t>
      </w:r>
      <w:r>
        <w:rPr>
          <w:rFonts w:hint="eastAsia"/>
          <w:szCs w:val="21"/>
        </w:rPr>
        <w:t>。</w:t>
      </w:r>
      <w:r w:rsidRPr="00D93387">
        <w:rPr>
          <w:rFonts w:hint="eastAsia"/>
          <w:szCs w:val="21"/>
        </w:rPr>
        <w:t>申请表</w:t>
      </w:r>
      <w:r w:rsidR="00AD5E3E" w:rsidRPr="00D93387">
        <w:rPr>
          <w:rFonts w:hint="eastAsia"/>
          <w:szCs w:val="21"/>
        </w:rPr>
        <w:t>中“负责人”一栏必须为学院学生会主席团</w:t>
      </w:r>
      <w:r w:rsidR="00AD5E3E" w:rsidRPr="00D93387">
        <w:rPr>
          <w:szCs w:val="21"/>
        </w:rPr>
        <w:t>/</w:t>
      </w:r>
      <w:r w:rsidRPr="00D93387">
        <w:rPr>
          <w:rFonts w:hint="eastAsia"/>
          <w:szCs w:val="21"/>
        </w:rPr>
        <w:t>社团主要负责人。</w:t>
      </w:r>
    </w:p>
    <w:p w:rsidR="001D2D16" w:rsidRDefault="000B36FE">
      <w:pPr>
        <w:pStyle w:val="1"/>
        <w:widowControl/>
        <w:numPr>
          <w:ilvl w:val="2"/>
          <w:numId w:val="1"/>
        </w:numPr>
        <w:snapToGrid w:val="0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活动中心最多只能在使用前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天申请</w:t>
      </w:r>
      <w:r w:rsidR="00E00A7C" w:rsidRPr="00E00A7C">
        <w:rPr>
          <w:rFonts w:hint="eastAsia"/>
          <w:szCs w:val="21"/>
        </w:rPr>
        <w:t>。</w:t>
      </w:r>
    </w:p>
    <w:p w:rsidR="001D2D16" w:rsidRDefault="00AD5E3E">
      <w:pPr>
        <w:pStyle w:val="1"/>
        <w:widowControl/>
        <w:numPr>
          <w:ilvl w:val="2"/>
          <w:numId w:val="1"/>
        </w:numPr>
        <w:snapToGrid w:val="0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申请成功后，若活动日期有变动或者活动临时取消，</w:t>
      </w:r>
      <w:r w:rsidR="000B36FE">
        <w:rPr>
          <w:rFonts w:hint="eastAsia"/>
          <w:szCs w:val="21"/>
        </w:rPr>
        <w:t>请及时</w:t>
      </w:r>
      <w:r w:rsidR="00D93387">
        <w:rPr>
          <w:rFonts w:hint="eastAsia"/>
          <w:szCs w:val="21"/>
        </w:rPr>
        <w:t>前往团</w:t>
      </w:r>
      <w:r w:rsidR="008C4B69">
        <w:rPr>
          <w:rFonts w:hint="eastAsia"/>
          <w:szCs w:val="21"/>
        </w:rPr>
        <w:t>工</w:t>
      </w:r>
      <w:r w:rsidR="00D93387">
        <w:rPr>
          <w:rFonts w:hint="eastAsia"/>
          <w:szCs w:val="21"/>
        </w:rPr>
        <w:t>委</w:t>
      </w:r>
      <w:r>
        <w:rPr>
          <w:rFonts w:hint="eastAsia"/>
          <w:szCs w:val="21"/>
        </w:rPr>
        <w:t>办公室进行说明</w:t>
      </w:r>
      <w:r w:rsidR="000B36FE">
        <w:rPr>
          <w:rFonts w:hint="eastAsia"/>
          <w:szCs w:val="21"/>
        </w:rPr>
        <w:t>，否则后果自负</w:t>
      </w:r>
      <w:r>
        <w:rPr>
          <w:rFonts w:hint="eastAsia"/>
          <w:szCs w:val="21"/>
        </w:rPr>
        <w:t>。若发生申请了活动中心却无故不使用的情况，学院视为已使用了</w:t>
      </w:r>
      <w:r w:rsidR="00A76A50">
        <w:rPr>
          <w:rFonts w:hint="eastAsia"/>
          <w:szCs w:val="21"/>
        </w:rPr>
        <w:t>本学期的免费使用资格；若社团，则取消本学期所有的东校园团工委</w:t>
      </w:r>
      <w:r>
        <w:rPr>
          <w:rFonts w:hint="eastAsia"/>
          <w:szCs w:val="21"/>
        </w:rPr>
        <w:t>场地申请资格，包括：舞蹈室申请、三饭小广场申请</w:t>
      </w:r>
      <w:r w:rsidR="00C24964">
        <w:rPr>
          <w:rFonts w:hint="eastAsia"/>
          <w:szCs w:val="21"/>
        </w:rPr>
        <w:t>、新活场地申请</w:t>
      </w:r>
      <w:r>
        <w:rPr>
          <w:rFonts w:hint="eastAsia"/>
          <w:szCs w:val="21"/>
        </w:rPr>
        <w:t>等。</w:t>
      </w:r>
    </w:p>
    <w:p w:rsidR="00FD490B" w:rsidRPr="00FD490B" w:rsidRDefault="00FD490B" w:rsidP="00FD490B">
      <w:pPr>
        <w:pStyle w:val="1"/>
        <w:widowControl/>
        <w:numPr>
          <w:ilvl w:val="2"/>
          <w:numId w:val="1"/>
        </w:numPr>
        <w:snapToGrid w:val="0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活动策划若有商家赞助，需在活动策划中详细说明赞助物品、赞助方式，或另附说明。</w:t>
      </w:r>
    </w:p>
    <w:p w:rsidR="001D2D16" w:rsidRDefault="001F31BA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每个院系每学期可免费使用活动中心一次，之后每次租金</w:t>
      </w:r>
      <w:r>
        <w:rPr>
          <w:rFonts w:hint="eastAsia"/>
          <w:b/>
          <w:szCs w:val="21"/>
        </w:rPr>
        <w:t>800</w:t>
      </w:r>
      <w:r>
        <w:rPr>
          <w:rFonts w:hint="eastAsia"/>
          <w:b/>
          <w:szCs w:val="21"/>
        </w:rPr>
        <w:t>元；团委直属社团可免费使用，其余社团每次租金</w:t>
      </w:r>
      <w:r>
        <w:rPr>
          <w:rFonts w:hint="eastAsia"/>
          <w:b/>
          <w:szCs w:val="21"/>
        </w:rPr>
        <w:t>800</w:t>
      </w:r>
      <w:r>
        <w:rPr>
          <w:rFonts w:hint="eastAsia"/>
          <w:b/>
          <w:szCs w:val="21"/>
        </w:rPr>
        <w:t>元。</w:t>
      </w:r>
      <w:r w:rsidR="00EF6BF4" w:rsidRPr="006E0C28">
        <w:rPr>
          <w:rFonts w:hint="eastAsia"/>
          <w:b/>
          <w:szCs w:val="21"/>
        </w:rPr>
        <w:t>在使用前联系办公室助理开转账单并在使用前完成转账</w:t>
      </w:r>
      <w:r w:rsidR="00AD5E3E" w:rsidRPr="006E0C28">
        <w:rPr>
          <w:rFonts w:hint="eastAsia"/>
          <w:b/>
          <w:szCs w:val="21"/>
        </w:rPr>
        <w:t>。</w:t>
      </w:r>
      <w:r w:rsidR="006D56A9">
        <w:rPr>
          <w:rFonts w:hint="eastAsia"/>
          <w:szCs w:val="21"/>
        </w:rPr>
        <w:t>并且，正式使用前，活动第一或第二负责人需要到团</w:t>
      </w:r>
      <w:r w:rsidR="008C4B69">
        <w:rPr>
          <w:rFonts w:hint="eastAsia"/>
          <w:szCs w:val="21"/>
        </w:rPr>
        <w:t>工</w:t>
      </w:r>
      <w:r w:rsidR="006D56A9">
        <w:rPr>
          <w:rFonts w:hint="eastAsia"/>
          <w:szCs w:val="21"/>
        </w:rPr>
        <w:t>委</w:t>
      </w:r>
      <w:r w:rsidR="00AD5E3E">
        <w:rPr>
          <w:rFonts w:hint="eastAsia"/>
          <w:szCs w:val="21"/>
        </w:rPr>
        <w:t>办公室抵押</w:t>
      </w:r>
      <w:r w:rsidR="00AD5E3E">
        <w:rPr>
          <w:rFonts w:hint="eastAsia"/>
          <w:szCs w:val="21"/>
        </w:rPr>
        <w:t>800</w:t>
      </w:r>
      <w:r w:rsidR="00AF325C">
        <w:rPr>
          <w:rFonts w:hint="eastAsia"/>
          <w:szCs w:val="21"/>
        </w:rPr>
        <w:t>元人民币押金和自己的校园卡。活动结束后待</w:t>
      </w:r>
      <w:r w:rsidR="00AD5E3E">
        <w:rPr>
          <w:rFonts w:hint="eastAsia"/>
          <w:szCs w:val="21"/>
        </w:rPr>
        <w:t>助理检查活动中心无发现使用不规范问题时，再通知取回</w:t>
      </w:r>
      <w:r w:rsidR="00AD5E3E">
        <w:rPr>
          <w:rFonts w:hint="eastAsia"/>
          <w:szCs w:val="21"/>
        </w:rPr>
        <w:t>800</w:t>
      </w:r>
      <w:r w:rsidR="00AD5E3E">
        <w:rPr>
          <w:rFonts w:hint="eastAsia"/>
          <w:szCs w:val="21"/>
        </w:rPr>
        <w:t>元押金和校园卡。</w:t>
      </w:r>
    </w:p>
    <w:p w:rsidR="001D2D16" w:rsidRDefault="009F2639">
      <w:pPr>
        <w:pStyle w:val="1"/>
        <w:widowControl/>
        <w:numPr>
          <w:ilvl w:val="2"/>
          <w:numId w:val="1"/>
        </w:numPr>
        <w:snapToGrid w:val="0"/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活动中心可申请使用</w:t>
      </w:r>
      <w:r w:rsidR="00AD5E3E">
        <w:rPr>
          <w:rFonts w:hint="eastAsia"/>
          <w:szCs w:val="21"/>
        </w:rPr>
        <w:t>时间为</w:t>
      </w:r>
      <w:r>
        <w:rPr>
          <w:rFonts w:hint="eastAsia"/>
          <w:szCs w:val="21"/>
        </w:rPr>
        <w:t>9:3</w:t>
      </w:r>
      <w:r>
        <w:rPr>
          <w:szCs w:val="21"/>
        </w:rPr>
        <w:t>0</w:t>
      </w:r>
      <w:r>
        <w:rPr>
          <w:rFonts w:hint="eastAsia"/>
          <w:szCs w:val="21"/>
        </w:rPr>
        <w:t>~</w:t>
      </w:r>
      <w:r>
        <w:rPr>
          <w:szCs w:val="21"/>
        </w:rPr>
        <w:t>22</w:t>
      </w:r>
      <w:r>
        <w:rPr>
          <w:rFonts w:hint="eastAsia"/>
          <w:szCs w:val="21"/>
        </w:rPr>
        <w:t>:2</w:t>
      </w:r>
      <w:r>
        <w:rPr>
          <w:szCs w:val="21"/>
        </w:rPr>
        <w:t>0</w:t>
      </w:r>
      <w:r w:rsidR="00D71F3A">
        <w:rPr>
          <w:rFonts w:hint="eastAsia"/>
          <w:szCs w:val="21"/>
        </w:rPr>
        <w:t>，法定节假日不开放</w:t>
      </w:r>
      <w:r>
        <w:rPr>
          <w:rFonts w:hint="eastAsia"/>
          <w:szCs w:val="21"/>
        </w:rPr>
        <w:t>，</w:t>
      </w:r>
      <w:r w:rsidR="00AD5E3E">
        <w:rPr>
          <w:rFonts w:hint="eastAsia"/>
          <w:szCs w:val="21"/>
        </w:rPr>
        <w:t>器材使用时间为</w:t>
      </w:r>
      <w:r w:rsidR="00AD5E3E">
        <w:rPr>
          <w:szCs w:val="21"/>
        </w:rPr>
        <w:t>1</w:t>
      </w:r>
      <w:r w:rsidR="00AD5E3E">
        <w:rPr>
          <w:rFonts w:hint="eastAsia"/>
          <w:szCs w:val="21"/>
        </w:rPr>
        <w:t>4</w:t>
      </w:r>
      <w:r w:rsidR="00AD5E3E">
        <w:rPr>
          <w:rFonts w:hint="eastAsia"/>
          <w:szCs w:val="21"/>
        </w:rPr>
        <w:t>：</w:t>
      </w:r>
      <w:r>
        <w:rPr>
          <w:rFonts w:hint="eastAsia"/>
          <w:szCs w:val="21"/>
        </w:rPr>
        <w:t>0</w:t>
      </w:r>
      <w:r w:rsidR="00AD5E3E">
        <w:rPr>
          <w:szCs w:val="21"/>
        </w:rPr>
        <w:t>0</w:t>
      </w:r>
      <w:r w:rsidR="00AD5E3E">
        <w:rPr>
          <w:rFonts w:hint="eastAsia"/>
          <w:szCs w:val="21"/>
        </w:rPr>
        <w:t>～</w:t>
      </w:r>
      <w:r w:rsidR="00AD5E3E">
        <w:rPr>
          <w:szCs w:val="21"/>
        </w:rPr>
        <w:t>22</w:t>
      </w:r>
      <w:r w:rsidR="00AD5E3E">
        <w:rPr>
          <w:rFonts w:hint="eastAsia"/>
          <w:szCs w:val="21"/>
        </w:rPr>
        <w:t>：</w:t>
      </w:r>
      <w:r w:rsidR="00AD5E3E">
        <w:rPr>
          <w:rFonts w:hint="eastAsia"/>
          <w:szCs w:val="21"/>
        </w:rPr>
        <w:t>0</w:t>
      </w:r>
      <w:r w:rsidR="00AD5E3E">
        <w:rPr>
          <w:szCs w:val="21"/>
        </w:rPr>
        <w:t>0</w:t>
      </w:r>
      <w:r>
        <w:rPr>
          <w:rFonts w:hint="eastAsia"/>
          <w:szCs w:val="21"/>
        </w:rPr>
        <w:t>。</w:t>
      </w:r>
    </w:p>
    <w:p w:rsidR="001D2D16" w:rsidRPr="006E0C28" w:rsidRDefault="00AD5E3E">
      <w:pPr>
        <w:pStyle w:val="1"/>
        <w:widowControl/>
        <w:numPr>
          <w:ilvl w:val="2"/>
          <w:numId w:val="1"/>
        </w:numPr>
        <w:snapToGrid w:val="0"/>
        <w:spacing w:line="360" w:lineRule="auto"/>
        <w:ind w:firstLineChars="0"/>
        <w:jc w:val="left"/>
        <w:rPr>
          <w:b/>
          <w:szCs w:val="21"/>
        </w:rPr>
      </w:pPr>
      <w:r w:rsidRPr="006E0C28">
        <w:rPr>
          <w:rFonts w:hint="eastAsia"/>
          <w:b/>
          <w:szCs w:val="21"/>
        </w:rPr>
        <w:t>活动中心租用者需在彩排和正式活动之间预留至少</w:t>
      </w:r>
      <w:r w:rsidRPr="006E0C28">
        <w:rPr>
          <w:rFonts w:hint="eastAsia"/>
          <w:b/>
          <w:szCs w:val="21"/>
        </w:rPr>
        <w:t>1</w:t>
      </w:r>
      <w:r w:rsidRPr="006E0C28">
        <w:rPr>
          <w:rFonts w:hint="eastAsia"/>
          <w:b/>
          <w:szCs w:val="21"/>
        </w:rPr>
        <w:t>个小时作为灯光助理用餐时间。</w:t>
      </w:r>
    </w:p>
    <w:p w:rsidR="00EF6BF4" w:rsidRPr="00EF6BF4" w:rsidRDefault="00A76A50" w:rsidP="00EF6BF4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szCs w:val="21"/>
        </w:rPr>
        <w:t>活动中心的操控音响及舞台灯光由东校园团工委</w:t>
      </w:r>
      <w:r w:rsidR="006D56A9">
        <w:rPr>
          <w:rFonts w:hint="eastAsia"/>
          <w:szCs w:val="21"/>
        </w:rPr>
        <w:t>安排灯光助理</w:t>
      </w:r>
      <w:r w:rsidR="00AD5E3E">
        <w:rPr>
          <w:rFonts w:hint="eastAsia"/>
          <w:szCs w:val="21"/>
        </w:rPr>
        <w:t>操作。</w:t>
      </w:r>
      <w:r w:rsidR="006D56A9">
        <w:rPr>
          <w:rFonts w:hint="eastAsia"/>
          <w:b/>
          <w:szCs w:val="21"/>
        </w:rPr>
        <w:t>请至少提前一天联系团</w:t>
      </w:r>
      <w:r w:rsidR="00D71F3A">
        <w:rPr>
          <w:rFonts w:hint="eastAsia"/>
          <w:b/>
          <w:szCs w:val="21"/>
        </w:rPr>
        <w:t>工</w:t>
      </w:r>
      <w:r w:rsidR="006D56A9">
        <w:rPr>
          <w:rFonts w:hint="eastAsia"/>
          <w:b/>
          <w:szCs w:val="21"/>
        </w:rPr>
        <w:t>委办公室</w:t>
      </w:r>
      <w:r w:rsidR="00EF6BF4" w:rsidRPr="006E0C28">
        <w:rPr>
          <w:rFonts w:hint="eastAsia"/>
          <w:b/>
          <w:szCs w:val="21"/>
        </w:rPr>
        <w:t>副主任</w:t>
      </w:r>
      <w:r w:rsidR="00EF6BF4" w:rsidRPr="00AA6565">
        <w:rPr>
          <w:rFonts w:hint="eastAsia"/>
          <w:szCs w:val="21"/>
        </w:rPr>
        <w:t>邮箱</w:t>
      </w:r>
      <w:r w:rsidR="00EF6BF4" w:rsidRPr="00AA6565">
        <w:rPr>
          <w:rFonts w:hint="eastAsia"/>
          <w:szCs w:val="21"/>
        </w:rPr>
        <w:t>1553713776@qq.com</w:t>
      </w:r>
      <w:r w:rsidR="00EF6BF4" w:rsidRPr="00AA6565">
        <w:rPr>
          <w:rFonts w:hint="eastAsia"/>
          <w:szCs w:val="21"/>
        </w:rPr>
        <w:t>或手机</w:t>
      </w:r>
      <w:r w:rsidR="00EF6BF4" w:rsidRPr="00AA6565">
        <w:rPr>
          <w:rFonts w:hint="eastAsia"/>
          <w:szCs w:val="21"/>
        </w:rPr>
        <w:t>15902011825</w:t>
      </w:r>
      <w:r w:rsidR="00AD5E3E" w:rsidRPr="00AA6565">
        <w:rPr>
          <w:rFonts w:hint="eastAsia"/>
          <w:szCs w:val="21"/>
        </w:rPr>
        <w:t>（电话联系前，请先短信询问是否方便接听电话）</w:t>
      </w:r>
      <w:r w:rsidR="00C24964" w:rsidRPr="00AA6565">
        <w:rPr>
          <w:rFonts w:hint="eastAsia"/>
          <w:szCs w:val="21"/>
        </w:rPr>
        <w:t>。</w:t>
      </w:r>
    </w:p>
    <w:p w:rsidR="001D2D16" w:rsidRPr="00AF325C" w:rsidRDefault="00AD5E3E" w:rsidP="00AF325C">
      <w:pPr>
        <w:pStyle w:val="a9"/>
        <w:widowControl/>
        <w:numPr>
          <w:ilvl w:val="2"/>
          <w:numId w:val="1"/>
        </w:numPr>
        <w:tabs>
          <w:tab w:val="left" w:pos="420"/>
        </w:tabs>
        <w:snapToGrid w:val="0"/>
        <w:spacing w:line="360" w:lineRule="auto"/>
        <w:ind w:firstLineChars="0"/>
        <w:jc w:val="left"/>
        <w:rPr>
          <w:szCs w:val="21"/>
        </w:rPr>
      </w:pPr>
      <w:r w:rsidRPr="009F2639">
        <w:rPr>
          <w:rFonts w:hint="eastAsia"/>
          <w:b/>
          <w:szCs w:val="21"/>
        </w:rPr>
        <w:t>活动结束时间不得超过</w:t>
      </w:r>
      <w:r w:rsidRPr="009F2639">
        <w:rPr>
          <w:b/>
          <w:szCs w:val="21"/>
        </w:rPr>
        <w:t>22</w:t>
      </w:r>
      <w:r w:rsidRPr="009F2639">
        <w:rPr>
          <w:rFonts w:hint="eastAsia"/>
          <w:b/>
          <w:szCs w:val="21"/>
        </w:rPr>
        <w:t>：</w:t>
      </w:r>
      <w:r w:rsidRPr="009F2639">
        <w:rPr>
          <w:b/>
          <w:szCs w:val="21"/>
        </w:rPr>
        <w:t>00</w:t>
      </w:r>
      <w:r w:rsidRPr="009F2639">
        <w:rPr>
          <w:rFonts w:hint="eastAsia"/>
          <w:b/>
          <w:szCs w:val="21"/>
        </w:rPr>
        <w:t>，活动结束后需安排同学清洁现场，并确保在</w:t>
      </w:r>
      <w:r w:rsidRPr="009F2639">
        <w:rPr>
          <w:b/>
          <w:szCs w:val="21"/>
        </w:rPr>
        <w:t>2</w:t>
      </w:r>
      <w:r w:rsidRPr="009F2639">
        <w:rPr>
          <w:rFonts w:hint="eastAsia"/>
          <w:b/>
          <w:szCs w:val="21"/>
        </w:rPr>
        <w:t>2</w:t>
      </w:r>
      <w:r w:rsidRPr="009F2639">
        <w:rPr>
          <w:rFonts w:hint="eastAsia"/>
          <w:b/>
          <w:szCs w:val="21"/>
        </w:rPr>
        <w:t>：</w:t>
      </w:r>
      <w:r w:rsidRPr="009F2639">
        <w:rPr>
          <w:rFonts w:hint="eastAsia"/>
          <w:b/>
          <w:szCs w:val="21"/>
        </w:rPr>
        <w:t>2</w:t>
      </w:r>
      <w:r w:rsidRPr="009F2639">
        <w:rPr>
          <w:b/>
          <w:szCs w:val="21"/>
        </w:rPr>
        <w:t>0</w:t>
      </w:r>
      <w:r w:rsidR="00AF325C">
        <w:rPr>
          <w:rFonts w:hint="eastAsia"/>
          <w:b/>
          <w:szCs w:val="21"/>
        </w:rPr>
        <w:t>前完成清洁，并联系值班灯光助理进行检查。</w:t>
      </w:r>
      <w:r w:rsidR="00A76A50" w:rsidRPr="00AF325C">
        <w:rPr>
          <w:rFonts w:hint="eastAsia"/>
          <w:szCs w:val="21"/>
        </w:rPr>
        <w:t>若出现超时情况，东校园团工委</w:t>
      </w:r>
      <w:r w:rsidRPr="00AF325C">
        <w:rPr>
          <w:rFonts w:hint="eastAsia"/>
          <w:szCs w:val="21"/>
        </w:rPr>
        <w:t>将视情节严重程度处以相应罚款！</w:t>
      </w:r>
    </w:p>
    <w:p w:rsidR="001D2D16" w:rsidRDefault="00AD5E3E" w:rsidP="00413F6E">
      <w:pPr>
        <w:widowControl/>
        <w:numPr>
          <w:ilvl w:val="0"/>
          <w:numId w:val="1"/>
        </w:numPr>
        <w:snapToGrid w:val="0"/>
        <w:spacing w:line="360" w:lineRule="auto"/>
        <w:jc w:val="left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明德</w:t>
      </w:r>
      <w:r w:rsidR="00785845">
        <w:rPr>
          <w:rFonts w:ascii="仿宋_GB2312" w:eastAsia="仿宋_GB2312" w:hint="eastAsia"/>
          <w:b/>
          <w:sz w:val="28"/>
          <w:szCs w:val="28"/>
        </w:rPr>
        <w:t>学生</w:t>
      </w:r>
      <w:r>
        <w:rPr>
          <w:rFonts w:ascii="仿宋_GB2312" w:eastAsia="仿宋_GB2312" w:hint="eastAsia"/>
          <w:b/>
          <w:sz w:val="28"/>
          <w:szCs w:val="28"/>
        </w:rPr>
        <w:t>活动中心使用须知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明德园六号（包括活动中心内部及一至三层的外部走廊、</w:t>
      </w:r>
      <w:r>
        <w:rPr>
          <w:szCs w:val="21"/>
        </w:rPr>
        <w:t>楼梯</w:t>
      </w:r>
      <w:r>
        <w:rPr>
          <w:rFonts w:hint="eastAsia"/>
          <w:szCs w:val="21"/>
        </w:rPr>
        <w:t>）</w:t>
      </w:r>
      <w:r w:rsidRPr="006E0C28">
        <w:rPr>
          <w:rFonts w:hint="eastAsia"/>
          <w:b/>
          <w:szCs w:val="21"/>
        </w:rPr>
        <w:t>禁止一切形式的粘贴</w:t>
      </w:r>
      <w:r>
        <w:rPr>
          <w:rFonts w:hint="eastAsia"/>
          <w:szCs w:val="21"/>
        </w:rPr>
        <w:t>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除饮用水或瓶装</w:t>
      </w:r>
      <w:r>
        <w:rPr>
          <w:szCs w:val="21"/>
        </w:rPr>
        <w:t>饮料</w:t>
      </w:r>
      <w:r>
        <w:rPr>
          <w:rFonts w:hint="eastAsia"/>
          <w:szCs w:val="21"/>
        </w:rPr>
        <w:t>外，</w:t>
      </w:r>
      <w:r w:rsidRPr="006E0C28">
        <w:rPr>
          <w:rFonts w:hint="eastAsia"/>
          <w:b/>
          <w:szCs w:val="21"/>
        </w:rPr>
        <w:t>禁止携带饮料、</w:t>
      </w:r>
      <w:r w:rsidRPr="006E0C28">
        <w:rPr>
          <w:b/>
          <w:szCs w:val="21"/>
        </w:rPr>
        <w:t>酒水</w:t>
      </w:r>
      <w:r w:rsidR="00AA5697" w:rsidRPr="006E0C28">
        <w:rPr>
          <w:rFonts w:hint="eastAsia"/>
          <w:b/>
          <w:szCs w:val="21"/>
        </w:rPr>
        <w:t>、食物等进入活动中心</w:t>
      </w:r>
      <w:r w:rsidR="00AA5697">
        <w:rPr>
          <w:rFonts w:hint="eastAsia"/>
          <w:szCs w:val="21"/>
        </w:rPr>
        <w:t>；</w:t>
      </w:r>
      <w:r w:rsidR="00AA5697" w:rsidRPr="006E0C28">
        <w:rPr>
          <w:rFonts w:hint="eastAsia"/>
          <w:b/>
          <w:szCs w:val="21"/>
        </w:rPr>
        <w:t>活动中心内外禁止商家赞助方摆摊</w:t>
      </w:r>
      <w:r w:rsidR="00AA5697">
        <w:rPr>
          <w:rFonts w:hint="eastAsia"/>
          <w:szCs w:val="21"/>
        </w:rPr>
        <w:t>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活动中心里面已经预留横幅、舞台背景幕布的张挂处，请规范使用。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维护环境清洁卫生，不得随地吐痰，乱扔垃圾。活动结束后，使用单位需安排同学清洁现场，物归原貌。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严禁使用烟花爆竹等一切易燃易爆物品。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言谈</w:t>
      </w:r>
      <w:r>
        <w:rPr>
          <w:szCs w:val="21"/>
        </w:rPr>
        <w:t>举止文明，衣着整洁</w:t>
      </w:r>
      <w:r>
        <w:rPr>
          <w:rFonts w:hint="eastAsia"/>
          <w:szCs w:val="21"/>
        </w:rPr>
        <w:t>；</w:t>
      </w:r>
      <w:r>
        <w:rPr>
          <w:szCs w:val="21"/>
        </w:rPr>
        <w:t>不得喧哗吵闹，寻</w:t>
      </w:r>
      <w:r>
        <w:rPr>
          <w:rFonts w:hint="eastAsia"/>
          <w:szCs w:val="21"/>
        </w:rPr>
        <w:t>衅</w:t>
      </w:r>
      <w:r>
        <w:rPr>
          <w:szCs w:val="21"/>
        </w:rPr>
        <w:t>滋事</w:t>
      </w:r>
      <w:r>
        <w:rPr>
          <w:rFonts w:hint="eastAsia"/>
          <w:szCs w:val="21"/>
        </w:rPr>
        <w:t>。不得利用活动中心举行任何商业性质的活动。</w:t>
      </w:r>
      <w:r>
        <w:rPr>
          <w:szCs w:val="21"/>
        </w:rPr>
        <w:t>不得利用</w:t>
      </w:r>
      <w:r>
        <w:rPr>
          <w:rFonts w:hint="eastAsia"/>
          <w:szCs w:val="21"/>
        </w:rPr>
        <w:t>活动</w:t>
      </w:r>
      <w:r>
        <w:rPr>
          <w:szCs w:val="21"/>
        </w:rPr>
        <w:t>中心场所进行赌博</w:t>
      </w:r>
      <w:r>
        <w:rPr>
          <w:rFonts w:hint="eastAsia"/>
          <w:szCs w:val="21"/>
        </w:rPr>
        <w:t>、传销等</w:t>
      </w:r>
      <w:r>
        <w:rPr>
          <w:szCs w:val="21"/>
        </w:rPr>
        <w:t>违法活动</w:t>
      </w:r>
      <w:r>
        <w:rPr>
          <w:rFonts w:hint="eastAsia"/>
          <w:szCs w:val="21"/>
        </w:rPr>
        <w:t>，不得在内举行任何与宗教有关的活动。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控制室存放大量专业技术设备，未经许可不得擅自进入。严禁擅自操控控制室内一切设备。控制室内不存放保管相关人员的私人物品、演出道具等。</w:t>
      </w:r>
    </w:p>
    <w:p w:rsidR="001D2D16" w:rsidRDefault="005C794C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爱惜器材和相关设备。活动主办方在使用活动中心相关器材之前须详</w:t>
      </w:r>
      <w:r w:rsidR="00AD5E3E">
        <w:rPr>
          <w:rFonts w:hint="eastAsia"/>
          <w:szCs w:val="21"/>
        </w:rPr>
        <w:t>向灯光助理询问使用方法及注意事项。</w:t>
      </w:r>
    </w:p>
    <w:p w:rsidR="001D2D16" w:rsidRPr="00AA6565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b/>
          <w:szCs w:val="21"/>
        </w:rPr>
      </w:pPr>
      <w:r w:rsidRPr="00AA6565">
        <w:rPr>
          <w:rFonts w:hint="eastAsia"/>
          <w:b/>
          <w:szCs w:val="21"/>
        </w:rPr>
        <w:t>严禁移动、插拔舞台上所有设备</w:t>
      </w:r>
      <w:r w:rsidR="00084B37">
        <w:rPr>
          <w:rFonts w:hint="eastAsia"/>
          <w:szCs w:val="21"/>
        </w:rPr>
        <w:t>（包括投影仪、监听音箱、</w:t>
      </w:r>
      <w:r w:rsidRPr="00236B6D">
        <w:rPr>
          <w:rFonts w:hint="eastAsia"/>
          <w:szCs w:val="21"/>
        </w:rPr>
        <w:t>电脑灯等）。</w:t>
      </w:r>
    </w:p>
    <w:p w:rsidR="001D2D16" w:rsidRDefault="00AD5E3E">
      <w:pPr>
        <w:widowControl/>
        <w:numPr>
          <w:ilvl w:val="2"/>
          <w:numId w:val="1"/>
        </w:numPr>
        <w:snapToGrid w:val="0"/>
        <w:spacing w:line="360" w:lineRule="auto"/>
        <w:jc w:val="left"/>
        <w:rPr>
          <w:szCs w:val="21"/>
        </w:rPr>
      </w:pPr>
      <w:r w:rsidRPr="006E0C28">
        <w:rPr>
          <w:rFonts w:hint="eastAsia"/>
          <w:b/>
          <w:szCs w:val="21"/>
        </w:rPr>
        <w:lastRenderedPageBreak/>
        <w:t>严禁拍打、吹喷、摔跌麦克风</w:t>
      </w:r>
      <w:r>
        <w:rPr>
          <w:rFonts w:hint="eastAsia"/>
          <w:szCs w:val="21"/>
        </w:rPr>
        <w:t>，使用单位需派专人负责麦克风和麦架的使用。</w:t>
      </w:r>
    </w:p>
    <w:p w:rsidR="001D2D16" w:rsidRDefault="00AD5E3E" w:rsidP="00E00A7C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（十一）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活动中心无网络接口，活动所需麦克风电池（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号电池）、排插、电脑需由使用单位自行准备。</w:t>
      </w:r>
    </w:p>
    <w:p w:rsidR="001D2D16" w:rsidRDefault="00E00A7C">
      <w:pPr>
        <w:widowControl/>
        <w:tabs>
          <w:tab w:val="left" w:pos="900"/>
        </w:tabs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（十二</w:t>
      </w:r>
      <w:r w:rsidR="00AD5E3E">
        <w:rPr>
          <w:rFonts w:hint="eastAsia"/>
          <w:color w:val="0000FF"/>
          <w:szCs w:val="21"/>
        </w:rPr>
        <w:t>）</w:t>
      </w:r>
      <w:r w:rsidR="00AD5E3E">
        <w:rPr>
          <w:rFonts w:hint="eastAsia"/>
          <w:szCs w:val="21"/>
        </w:rPr>
        <w:t xml:space="preserve"> </w:t>
      </w:r>
      <w:r w:rsidR="00AD5E3E">
        <w:rPr>
          <w:rFonts w:hint="eastAsia"/>
          <w:szCs w:val="21"/>
        </w:rPr>
        <w:t>严禁</w:t>
      </w:r>
      <w:r w:rsidR="00AD5E3E">
        <w:rPr>
          <w:szCs w:val="21"/>
        </w:rPr>
        <w:t>两个及以上社团同时使用活动中心。</w:t>
      </w:r>
    </w:p>
    <w:p w:rsidR="001D2D16" w:rsidRDefault="00E00A7C">
      <w:pPr>
        <w:widowControl/>
        <w:tabs>
          <w:tab w:val="left" w:pos="900"/>
        </w:tabs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（十三</w:t>
      </w:r>
      <w:r w:rsidR="00AD5E3E">
        <w:rPr>
          <w:rFonts w:hint="eastAsia"/>
          <w:color w:val="0000FF"/>
          <w:szCs w:val="21"/>
        </w:rPr>
        <w:t>）</w:t>
      </w:r>
      <w:r w:rsidR="00AD5E3E">
        <w:rPr>
          <w:rFonts w:hint="eastAsia"/>
          <w:szCs w:val="21"/>
        </w:rPr>
        <w:t xml:space="preserve"> </w:t>
      </w:r>
      <w:r w:rsidR="00AD5E3E">
        <w:rPr>
          <w:rFonts w:hint="eastAsia"/>
          <w:szCs w:val="21"/>
        </w:rPr>
        <w:t>严禁</w:t>
      </w:r>
      <w:r w:rsidR="00AD5E3E">
        <w:rPr>
          <w:szCs w:val="21"/>
        </w:rPr>
        <w:t>任何非</w:t>
      </w:r>
      <w:r w:rsidR="00AF325C">
        <w:rPr>
          <w:rFonts w:hint="eastAsia"/>
          <w:szCs w:val="21"/>
        </w:rPr>
        <w:t>校团委</w:t>
      </w:r>
      <w:r w:rsidR="00AD5E3E">
        <w:rPr>
          <w:szCs w:val="21"/>
        </w:rPr>
        <w:t>灯光助理人士</w:t>
      </w:r>
      <w:r w:rsidR="00AD5E3E">
        <w:rPr>
          <w:rFonts w:hint="eastAsia"/>
          <w:szCs w:val="21"/>
        </w:rPr>
        <w:t>进入</w:t>
      </w:r>
      <w:r w:rsidR="00AD5E3E">
        <w:rPr>
          <w:szCs w:val="21"/>
        </w:rPr>
        <w:t>活动中心控制室</w:t>
      </w:r>
      <w:r w:rsidR="00AD5E3E">
        <w:rPr>
          <w:rFonts w:hint="eastAsia"/>
          <w:szCs w:val="21"/>
        </w:rPr>
        <w:t>并使用</w:t>
      </w:r>
      <w:r w:rsidR="00AD5E3E">
        <w:rPr>
          <w:szCs w:val="21"/>
        </w:rPr>
        <w:t>控制室内任何设备。</w:t>
      </w:r>
    </w:p>
    <w:p w:rsidR="001D2D16" w:rsidRPr="00EB462D" w:rsidRDefault="00E00A7C">
      <w:pPr>
        <w:widowControl/>
        <w:tabs>
          <w:tab w:val="left" w:pos="900"/>
        </w:tabs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（十四</w:t>
      </w:r>
      <w:r w:rsidR="00AD5E3E">
        <w:rPr>
          <w:rFonts w:hint="eastAsia"/>
          <w:color w:val="0000FF"/>
          <w:szCs w:val="21"/>
        </w:rPr>
        <w:t>）</w:t>
      </w:r>
      <w:r w:rsidR="00AD5E3E" w:rsidRPr="00EB462D">
        <w:rPr>
          <w:rFonts w:hint="eastAsia"/>
          <w:color w:val="0000FF"/>
          <w:szCs w:val="21"/>
        </w:rPr>
        <w:t xml:space="preserve"> </w:t>
      </w:r>
      <w:r w:rsidR="00AD5E3E" w:rsidRPr="006E0C28">
        <w:rPr>
          <w:rFonts w:hint="eastAsia"/>
          <w:b/>
          <w:szCs w:val="21"/>
        </w:rPr>
        <w:t>严禁一切外来灯光公司在活动中心内私接设备。</w:t>
      </w:r>
      <w:r w:rsidR="00C24964" w:rsidRPr="006E0C28">
        <w:rPr>
          <w:rFonts w:hint="eastAsia"/>
          <w:b/>
          <w:szCs w:val="21"/>
        </w:rPr>
        <w:t>若需要外接其他灯光音响设备，须在申请时附上设备清单</w:t>
      </w:r>
      <w:r w:rsidR="00FD490B" w:rsidRPr="006E0C28">
        <w:rPr>
          <w:rFonts w:hint="eastAsia"/>
          <w:b/>
          <w:szCs w:val="21"/>
        </w:rPr>
        <w:t>及功率说明</w:t>
      </w:r>
      <w:r w:rsidR="00C24964" w:rsidRPr="006E0C28">
        <w:rPr>
          <w:rFonts w:hint="eastAsia"/>
          <w:b/>
          <w:szCs w:val="21"/>
        </w:rPr>
        <w:t>，审核后申请方</w:t>
      </w:r>
      <w:r w:rsidR="00FD490B" w:rsidRPr="006E0C28">
        <w:rPr>
          <w:rFonts w:hint="eastAsia"/>
          <w:b/>
          <w:szCs w:val="21"/>
        </w:rPr>
        <w:t>持场地使用申请表等资料，</w:t>
      </w:r>
      <w:r w:rsidR="00C24964" w:rsidRPr="006E0C28">
        <w:rPr>
          <w:rFonts w:hint="eastAsia"/>
          <w:b/>
          <w:szCs w:val="21"/>
        </w:rPr>
        <w:t>自行向后勤办</w:t>
      </w:r>
      <w:r w:rsidR="00FD490B" w:rsidRPr="006E0C28">
        <w:rPr>
          <w:rFonts w:hint="eastAsia"/>
          <w:b/>
          <w:szCs w:val="21"/>
        </w:rPr>
        <w:t>申请从电房外接用电，以保证用电安全。</w:t>
      </w:r>
    </w:p>
    <w:p w:rsidR="001D2D16" w:rsidRDefault="00AD5E3E">
      <w:pPr>
        <w:widowControl/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  赔偿与处罚条例</w:t>
      </w:r>
    </w:p>
    <w:p w:rsidR="001D2D16" w:rsidRDefault="00AD5E3E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（一）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szCs w:val="21"/>
        </w:rPr>
        <w:t>凡损坏活动中心公共物品者，活动负责人应自行将其维修完好；彻底损坏而不能修复者，两周内必须自行购回同型号物品，物归原位。其它公物按其市场价位收取赔两倍赔偿金。</w:t>
      </w:r>
    </w:p>
    <w:p w:rsidR="001D2D16" w:rsidRDefault="00AD5E3E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（二）</w:t>
      </w:r>
      <w:r>
        <w:rPr>
          <w:rFonts w:hint="eastAsia"/>
          <w:szCs w:val="21"/>
        </w:rPr>
        <w:t xml:space="preserve"> </w:t>
      </w:r>
      <w:r w:rsidR="00F3231A">
        <w:rPr>
          <w:rFonts w:hint="eastAsia"/>
          <w:szCs w:val="21"/>
        </w:rPr>
        <w:t>一旦发现有任何粘贴、乱涂乱钉</w:t>
      </w:r>
      <w:r>
        <w:rPr>
          <w:rFonts w:hint="eastAsia"/>
          <w:szCs w:val="21"/>
        </w:rPr>
        <w:t>、活动中心使用超时等规定，赔偿按处罚条例表格执行，违反本须知其它规定者，着不良使用记录，</w:t>
      </w:r>
      <w:r>
        <w:rPr>
          <w:rFonts w:hint="eastAsia"/>
          <w:b/>
          <w:szCs w:val="21"/>
        </w:rPr>
        <w:t>凡有不良记录者，取消其再次使用活动中心的权利。</w:t>
      </w:r>
    </w:p>
    <w:p w:rsidR="001D2D16" w:rsidRDefault="00AD5E3E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color w:val="0000FF"/>
          <w:szCs w:val="21"/>
        </w:rPr>
        <w:t>（三）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如发现严重违规使用并不听取警告，社团及使用单位</w:t>
      </w:r>
      <w:r>
        <w:rPr>
          <w:szCs w:val="21"/>
        </w:rPr>
        <w:t>最终</w:t>
      </w:r>
      <w:r>
        <w:rPr>
          <w:rFonts w:hint="eastAsia"/>
          <w:szCs w:val="21"/>
        </w:rPr>
        <w:t>赔偿惩处方案由东校园</w:t>
      </w:r>
      <w:r w:rsidR="00A76A50">
        <w:rPr>
          <w:rFonts w:hint="eastAsia"/>
          <w:szCs w:val="21"/>
        </w:rPr>
        <w:t>团工委</w:t>
      </w:r>
      <w:r>
        <w:rPr>
          <w:rFonts w:hint="eastAsia"/>
          <w:szCs w:val="21"/>
        </w:rPr>
        <w:t>商议决定并实施。</w:t>
      </w:r>
    </w:p>
    <w:p w:rsidR="001D2D16" w:rsidRDefault="00AD5E3E">
      <w:pPr>
        <w:widowControl/>
        <w:snapToGrid w:val="0"/>
        <w:spacing w:beforeLines="50" w:before="156" w:line="360" w:lineRule="auto"/>
        <w:ind w:firstLineChars="270" w:firstLine="569"/>
        <w:jc w:val="left"/>
        <w:rPr>
          <w:b/>
          <w:szCs w:val="21"/>
        </w:rPr>
      </w:pPr>
      <w:r>
        <w:rPr>
          <w:rFonts w:hint="eastAsia"/>
          <w:b/>
          <w:szCs w:val="21"/>
        </w:rPr>
        <w:t>附</w:t>
      </w:r>
      <w:r>
        <w:rPr>
          <w:b/>
          <w:szCs w:val="21"/>
        </w:rPr>
        <w:t>处罚</w:t>
      </w:r>
      <w:r>
        <w:rPr>
          <w:rFonts w:hint="eastAsia"/>
          <w:b/>
          <w:szCs w:val="21"/>
        </w:rPr>
        <w:t>条例表格：</w:t>
      </w:r>
    </w:p>
    <w:tbl>
      <w:tblPr>
        <w:tblStyle w:val="a7"/>
        <w:tblW w:w="8842" w:type="dxa"/>
        <w:jc w:val="center"/>
        <w:tblLayout w:type="fixed"/>
        <w:tblLook w:val="04A0" w:firstRow="1" w:lastRow="0" w:firstColumn="1" w:lastColumn="0" w:noHBand="0" w:noVBand="1"/>
      </w:tblPr>
      <w:tblGrid>
        <w:gridCol w:w="4164"/>
        <w:gridCol w:w="4678"/>
      </w:tblGrid>
      <w:tr w:rsidR="00F3231A" w:rsidTr="00AC4953">
        <w:trPr>
          <w:trHeight w:val="512"/>
          <w:jc w:val="center"/>
        </w:trPr>
        <w:tc>
          <w:tcPr>
            <w:tcW w:w="4164" w:type="dxa"/>
            <w:vAlign w:val="center"/>
          </w:tcPr>
          <w:p w:rsidR="00F3231A" w:rsidRDefault="00F3231A">
            <w:pPr>
              <w:widowControl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发现违规问题</w:t>
            </w:r>
          </w:p>
        </w:tc>
        <w:tc>
          <w:tcPr>
            <w:tcW w:w="4678" w:type="dxa"/>
            <w:vAlign w:val="center"/>
          </w:tcPr>
          <w:p w:rsidR="00F3231A" w:rsidRDefault="00F3231A">
            <w:pPr>
              <w:widowControl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处罚</w:t>
            </w:r>
          </w:p>
        </w:tc>
      </w:tr>
      <w:tr w:rsidR="00F3231A" w:rsidTr="00AC4953">
        <w:trPr>
          <w:trHeight w:val="462"/>
          <w:jc w:val="center"/>
        </w:trPr>
        <w:tc>
          <w:tcPr>
            <w:tcW w:w="4164" w:type="dxa"/>
            <w:vAlign w:val="center"/>
          </w:tcPr>
          <w:p w:rsidR="00F3231A" w:rsidRDefault="00F3231A" w:rsidP="00C7388E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粘贴（</w:t>
            </w:r>
            <w:r>
              <w:rPr>
                <w:szCs w:val="21"/>
              </w:rPr>
              <w:t>透明胶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双面</w:t>
            </w:r>
            <w:r>
              <w:rPr>
                <w:rFonts w:hint="eastAsia"/>
                <w:szCs w:val="21"/>
              </w:rPr>
              <w:t>胶等）、乱涂、乱钉</w:t>
            </w:r>
          </w:p>
        </w:tc>
        <w:tc>
          <w:tcPr>
            <w:tcW w:w="4678" w:type="dxa"/>
            <w:vAlign w:val="center"/>
          </w:tcPr>
          <w:p w:rsidR="00F3231A" w:rsidRDefault="00F3231A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扣除押金</w:t>
            </w: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</w:tr>
      <w:tr w:rsidR="00F3231A" w:rsidTr="00AC4953">
        <w:trPr>
          <w:trHeight w:val="544"/>
          <w:jc w:val="center"/>
        </w:trPr>
        <w:tc>
          <w:tcPr>
            <w:tcW w:w="4164" w:type="dxa"/>
            <w:vAlign w:val="center"/>
          </w:tcPr>
          <w:p w:rsidR="00F3231A" w:rsidRDefault="00F3231A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活动中心进食饮酒</w:t>
            </w:r>
          </w:p>
        </w:tc>
        <w:tc>
          <w:tcPr>
            <w:tcW w:w="4678" w:type="dxa"/>
            <w:vAlign w:val="center"/>
          </w:tcPr>
          <w:p w:rsidR="00F3231A" w:rsidRDefault="00F3231A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扣除押金</w:t>
            </w:r>
            <w:r>
              <w:rPr>
                <w:rFonts w:hint="eastAsia"/>
                <w:b/>
                <w:szCs w:val="21"/>
              </w:rPr>
              <w:t>200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次</w:t>
            </w:r>
          </w:p>
        </w:tc>
      </w:tr>
      <w:tr w:rsidR="001D2D16" w:rsidTr="00AC4953">
        <w:trPr>
          <w:trHeight w:val="566"/>
          <w:jc w:val="center"/>
        </w:trPr>
        <w:tc>
          <w:tcPr>
            <w:tcW w:w="4164" w:type="dxa"/>
            <w:vAlign w:val="center"/>
          </w:tcPr>
          <w:p w:rsidR="001D2D16" w:rsidRDefault="00AD5E3E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超时（</w:t>
            </w:r>
            <w:r>
              <w:rPr>
                <w:szCs w:val="21"/>
              </w:rPr>
              <w:t>超过</w:t>
            </w:r>
            <w:r>
              <w:rPr>
                <w:rFonts w:hint="eastAsia"/>
                <w:szCs w:val="21"/>
              </w:rPr>
              <w:t>22:20</w:t>
            </w:r>
            <w:r>
              <w:rPr>
                <w:rFonts w:hint="eastAsia"/>
                <w:szCs w:val="21"/>
              </w:rPr>
              <w:t>退场地）</w:t>
            </w:r>
          </w:p>
        </w:tc>
        <w:tc>
          <w:tcPr>
            <w:tcW w:w="4678" w:type="dxa"/>
            <w:vAlign w:val="center"/>
          </w:tcPr>
          <w:p w:rsidR="001D2D16" w:rsidRDefault="00F3231A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扣除</w:t>
            </w:r>
            <w:r w:rsidR="00A91532">
              <w:rPr>
                <w:rFonts w:hint="eastAsia"/>
                <w:b/>
                <w:szCs w:val="21"/>
              </w:rPr>
              <w:t>2</w:t>
            </w:r>
            <w:r w:rsidR="00C7388E" w:rsidRPr="00F3231A">
              <w:rPr>
                <w:b/>
                <w:szCs w:val="21"/>
              </w:rPr>
              <w:t>00</w:t>
            </w:r>
            <w:r w:rsidR="00C7388E">
              <w:rPr>
                <w:rFonts w:hint="eastAsia"/>
                <w:szCs w:val="21"/>
              </w:rPr>
              <w:t>元</w:t>
            </w:r>
            <w:r w:rsidR="00C7388E">
              <w:rPr>
                <w:rFonts w:hint="eastAsia"/>
                <w:szCs w:val="21"/>
              </w:rPr>
              <w:t>/</w:t>
            </w:r>
            <w:r w:rsidR="00C7388E">
              <w:rPr>
                <w:szCs w:val="21"/>
              </w:rPr>
              <w:t>10</w:t>
            </w:r>
            <w:r w:rsidR="00C7388E">
              <w:rPr>
                <w:rFonts w:hint="eastAsia"/>
                <w:szCs w:val="21"/>
              </w:rPr>
              <w:t>分钟</w:t>
            </w:r>
            <w:r w:rsidR="00AC4953">
              <w:rPr>
                <w:rFonts w:hint="eastAsia"/>
                <w:szCs w:val="21"/>
              </w:rPr>
              <w:t>（不足</w:t>
            </w:r>
            <w:r w:rsidR="00AC4953">
              <w:rPr>
                <w:rFonts w:hint="eastAsia"/>
                <w:szCs w:val="21"/>
              </w:rPr>
              <w:t>10</w:t>
            </w:r>
            <w:r w:rsidR="00AC4953">
              <w:rPr>
                <w:rFonts w:hint="eastAsia"/>
                <w:szCs w:val="21"/>
              </w:rPr>
              <w:t>分钟按</w:t>
            </w:r>
            <w:r w:rsidR="00AC4953">
              <w:rPr>
                <w:rFonts w:hint="eastAsia"/>
                <w:szCs w:val="21"/>
              </w:rPr>
              <w:t>10</w:t>
            </w:r>
            <w:r w:rsidR="003F5D2C">
              <w:rPr>
                <w:rFonts w:hint="eastAsia"/>
                <w:szCs w:val="21"/>
              </w:rPr>
              <w:t>分钟计，严重超时者取消本学期使用资格）</w:t>
            </w:r>
          </w:p>
        </w:tc>
      </w:tr>
      <w:tr w:rsidR="001D2D16" w:rsidTr="00AC4953">
        <w:trPr>
          <w:trHeight w:val="566"/>
          <w:jc w:val="center"/>
        </w:trPr>
        <w:tc>
          <w:tcPr>
            <w:tcW w:w="4164" w:type="dxa"/>
            <w:vAlign w:val="center"/>
          </w:tcPr>
          <w:p w:rsidR="001D2D16" w:rsidRDefault="00AD5E3E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t>违反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szCs w:val="21"/>
              </w:rPr>
              <w:t>条例</w:t>
            </w:r>
            <w:r>
              <w:rPr>
                <w:rFonts w:hint="eastAsia"/>
                <w:szCs w:val="21"/>
              </w:rPr>
              <w:t>现象</w:t>
            </w:r>
          </w:p>
        </w:tc>
        <w:tc>
          <w:tcPr>
            <w:tcW w:w="4678" w:type="dxa"/>
            <w:vAlign w:val="center"/>
          </w:tcPr>
          <w:p w:rsidR="001D2D16" w:rsidRDefault="00AD5E3E">
            <w:pPr>
              <w:widowControl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</w:t>
            </w:r>
            <w:r>
              <w:rPr>
                <w:szCs w:val="21"/>
              </w:rPr>
              <w:t>违规情节严重性予以处理</w:t>
            </w:r>
          </w:p>
        </w:tc>
      </w:tr>
    </w:tbl>
    <w:p w:rsidR="001D2D16" w:rsidRDefault="001D2D16">
      <w:pPr>
        <w:widowControl/>
        <w:snapToGrid w:val="0"/>
        <w:spacing w:line="360" w:lineRule="auto"/>
        <w:jc w:val="left"/>
        <w:rPr>
          <w:szCs w:val="21"/>
        </w:rPr>
      </w:pPr>
    </w:p>
    <w:p w:rsidR="001D2D16" w:rsidRDefault="00F453FE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本细则自颁布之日起实行</w:t>
      </w:r>
      <w:r w:rsidR="0069730F">
        <w:rPr>
          <w:rFonts w:ascii="仿宋_GB2312" w:eastAsia="仿宋_GB2312" w:hint="eastAsia"/>
          <w:b/>
          <w:sz w:val="28"/>
          <w:szCs w:val="28"/>
        </w:rPr>
        <w:t>。</w:t>
      </w:r>
      <w:bookmarkStart w:id="0" w:name="_GoBack"/>
      <w:bookmarkEnd w:id="0"/>
    </w:p>
    <w:p w:rsidR="001D2D16" w:rsidRDefault="00AD5E3E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如有违反本</w:t>
      </w:r>
      <w:r>
        <w:rPr>
          <w:rFonts w:ascii="仿宋_GB2312" w:eastAsia="仿宋_GB2312" w:hint="eastAsia"/>
          <w:b/>
          <w:sz w:val="28"/>
          <w:szCs w:val="28"/>
        </w:rPr>
        <w:t>细</w:t>
      </w:r>
      <w:r>
        <w:rPr>
          <w:rFonts w:ascii="仿宋_GB2312" w:eastAsia="仿宋_GB2312"/>
          <w:b/>
          <w:sz w:val="28"/>
          <w:szCs w:val="28"/>
        </w:rPr>
        <w:t>则者，</w:t>
      </w:r>
      <w:r w:rsidR="00A76A50">
        <w:rPr>
          <w:rFonts w:ascii="仿宋_GB2312" w:eastAsia="仿宋_GB2312" w:hint="eastAsia"/>
          <w:b/>
          <w:sz w:val="28"/>
          <w:szCs w:val="28"/>
        </w:rPr>
        <w:t>东校园团工委</w:t>
      </w:r>
      <w:r>
        <w:rPr>
          <w:rFonts w:ascii="仿宋_GB2312" w:eastAsia="仿宋_GB2312"/>
          <w:b/>
          <w:sz w:val="28"/>
          <w:szCs w:val="28"/>
        </w:rPr>
        <w:t>有</w:t>
      </w:r>
      <w:r>
        <w:rPr>
          <w:rFonts w:ascii="仿宋_GB2312" w:eastAsia="仿宋_GB2312" w:hint="eastAsia"/>
          <w:b/>
          <w:sz w:val="28"/>
          <w:szCs w:val="28"/>
        </w:rPr>
        <w:t>权</w:t>
      </w:r>
      <w:r>
        <w:rPr>
          <w:rFonts w:ascii="仿宋_GB2312" w:eastAsia="仿宋_GB2312"/>
          <w:b/>
          <w:sz w:val="28"/>
          <w:szCs w:val="28"/>
        </w:rPr>
        <w:t>给予</w:t>
      </w:r>
      <w:r>
        <w:rPr>
          <w:rFonts w:ascii="仿宋_GB2312" w:eastAsia="仿宋_GB2312" w:hint="eastAsia"/>
          <w:b/>
          <w:sz w:val="28"/>
          <w:szCs w:val="28"/>
        </w:rPr>
        <w:t>其</w:t>
      </w:r>
      <w:r>
        <w:rPr>
          <w:rFonts w:ascii="仿宋_GB2312" w:eastAsia="仿宋_GB2312"/>
          <w:b/>
          <w:sz w:val="28"/>
          <w:szCs w:val="28"/>
        </w:rPr>
        <w:t>相应的</w:t>
      </w:r>
      <w:r>
        <w:rPr>
          <w:rFonts w:ascii="仿宋_GB2312" w:eastAsia="仿宋_GB2312" w:hint="eastAsia"/>
          <w:b/>
          <w:sz w:val="28"/>
          <w:szCs w:val="28"/>
        </w:rPr>
        <w:t>纪律</w:t>
      </w:r>
      <w:r>
        <w:rPr>
          <w:rFonts w:ascii="仿宋_GB2312" w:eastAsia="仿宋_GB2312"/>
          <w:b/>
          <w:sz w:val="28"/>
          <w:szCs w:val="28"/>
        </w:rPr>
        <w:t>处分。</w:t>
      </w:r>
      <w:r>
        <w:rPr>
          <w:rFonts w:ascii="仿宋_GB2312" w:eastAsia="仿宋_GB2312" w:hint="eastAsia"/>
          <w:b/>
          <w:sz w:val="28"/>
          <w:szCs w:val="28"/>
        </w:rPr>
        <w:t>情节严重者，追究其法律责任。</w:t>
      </w:r>
    </w:p>
    <w:p w:rsidR="001D2D16" w:rsidRDefault="00AD5E3E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本</w:t>
      </w:r>
      <w:r>
        <w:rPr>
          <w:rFonts w:ascii="仿宋_GB2312" w:eastAsia="仿宋_GB2312" w:hint="eastAsia"/>
          <w:b/>
          <w:sz w:val="28"/>
          <w:szCs w:val="28"/>
        </w:rPr>
        <w:t>细则最终</w:t>
      </w:r>
      <w:r>
        <w:rPr>
          <w:rFonts w:ascii="仿宋_GB2312" w:eastAsia="仿宋_GB2312"/>
          <w:b/>
          <w:sz w:val="28"/>
          <w:szCs w:val="28"/>
        </w:rPr>
        <w:t>解释权</w:t>
      </w:r>
      <w:r w:rsidR="00A76A50">
        <w:rPr>
          <w:rFonts w:ascii="仿宋_GB2312" w:eastAsia="仿宋_GB2312" w:hint="eastAsia"/>
          <w:b/>
          <w:sz w:val="28"/>
          <w:szCs w:val="28"/>
        </w:rPr>
        <w:t>归共青团中山大学广州</w:t>
      </w:r>
      <w:r>
        <w:rPr>
          <w:rFonts w:ascii="仿宋_GB2312" w:eastAsia="仿宋_GB2312" w:hint="eastAsia"/>
          <w:b/>
          <w:sz w:val="28"/>
          <w:szCs w:val="28"/>
        </w:rPr>
        <w:t>东校园工作委员会所有。</w:t>
      </w:r>
    </w:p>
    <w:p w:rsidR="001D2D16" w:rsidRDefault="00AD5E3E">
      <w:pPr>
        <w:widowControl/>
        <w:snapToGrid w:val="0"/>
        <w:spacing w:line="360" w:lineRule="auto"/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上述文字请认真阅读，如无任何疑问，请严格遵守本使用须知！</w:t>
      </w:r>
    </w:p>
    <w:p w:rsidR="001D2D16" w:rsidRDefault="00AD5E3E">
      <w:pPr>
        <w:widowControl/>
        <w:snapToGrid w:val="0"/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申请单位（盖章）：</w:t>
      </w:r>
    </w:p>
    <w:p w:rsidR="001D2D16" w:rsidRDefault="00AD5E3E">
      <w:pPr>
        <w:widowControl/>
        <w:snapToGrid w:val="0"/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申请负责人：</w:t>
      </w:r>
    </w:p>
    <w:p w:rsidR="001D2D16" w:rsidRPr="00C92C07" w:rsidRDefault="00AD5E3E" w:rsidP="00C92C07">
      <w:pPr>
        <w:widowControl/>
        <w:snapToGrid w:val="0"/>
        <w:spacing w:line="3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联系方式：</w:t>
      </w:r>
    </w:p>
    <w:sectPr w:rsidR="001D2D16" w:rsidRPr="00C92C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A5" w:rsidRDefault="00BF6DA5" w:rsidP="00C7388E">
      <w:r>
        <w:separator/>
      </w:r>
    </w:p>
  </w:endnote>
  <w:endnote w:type="continuationSeparator" w:id="0">
    <w:p w:rsidR="00BF6DA5" w:rsidRDefault="00BF6DA5" w:rsidP="00C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A5" w:rsidRDefault="00BF6DA5" w:rsidP="00C7388E">
      <w:r>
        <w:separator/>
      </w:r>
    </w:p>
  </w:footnote>
  <w:footnote w:type="continuationSeparator" w:id="0">
    <w:p w:rsidR="00BF6DA5" w:rsidRDefault="00BF6DA5" w:rsidP="00C7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0DC"/>
    <w:multiLevelType w:val="multilevel"/>
    <w:tmpl w:val="BBD6972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eastAsia="宋体" w:hAnsi="Times New Roman" w:cs="Times New Roman"/>
      </w:rPr>
    </w:lvl>
    <w:lvl w:ilvl="1" w:tentative="1">
      <w:start w:val="1"/>
      <w:numFmt w:val="chineseCountingThousand"/>
      <w:lvlText w:val="（%2）"/>
      <w:lvlJc w:val="left"/>
      <w:pPr>
        <w:tabs>
          <w:tab w:val="left" w:pos="987"/>
        </w:tabs>
        <w:ind w:left="1271" w:hanging="851"/>
      </w:pPr>
      <w:rPr>
        <w:sz w:val="24"/>
        <w:szCs w:val="24"/>
        <w:lang w:val="en-US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b w:val="0"/>
        <w:color w:val="0000FF"/>
        <w:lang w:val="en-US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0A"/>
    <w:rsid w:val="00084B37"/>
    <w:rsid w:val="000B36FE"/>
    <w:rsid w:val="000D01B3"/>
    <w:rsid w:val="00113713"/>
    <w:rsid w:val="00142B0B"/>
    <w:rsid w:val="001A6B00"/>
    <w:rsid w:val="001D2D16"/>
    <w:rsid w:val="001F31BA"/>
    <w:rsid w:val="001F56F5"/>
    <w:rsid w:val="001F5BC4"/>
    <w:rsid w:val="00222108"/>
    <w:rsid w:val="00236B6D"/>
    <w:rsid w:val="00283CC0"/>
    <w:rsid w:val="002D4FD0"/>
    <w:rsid w:val="002E0B59"/>
    <w:rsid w:val="002E24F3"/>
    <w:rsid w:val="00343F72"/>
    <w:rsid w:val="00357CAD"/>
    <w:rsid w:val="003722C7"/>
    <w:rsid w:val="00394A66"/>
    <w:rsid w:val="003F5D2C"/>
    <w:rsid w:val="00413F6E"/>
    <w:rsid w:val="00497755"/>
    <w:rsid w:val="005849C2"/>
    <w:rsid w:val="005C794C"/>
    <w:rsid w:val="005E030A"/>
    <w:rsid w:val="005E1120"/>
    <w:rsid w:val="00675D75"/>
    <w:rsid w:val="0069730F"/>
    <w:rsid w:val="006A3E8B"/>
    <w:rsid w:val="006A540A"/>
    <w:rsid w:val="006B45C0"/>
    <w:rsid w:val="006D56A9"/>
    <w:rsid w:val="006E0C28"/>
    <w:rsid w:val="00785845"/>
    <w:rsid w:val="007F55FC"/>
    <w:rsid w:val="0088643F"/>
    <w:rsid w:val="008B66C5"/>
    <w:rsid w:val="008C4B69"/>
    <w:rsid w:val="00936B86"/>
    <w:rsid w:val="009F2639"/>
    <w:rsid w:val="00A76A50"/>
    <w:rsid w:val="00A91532"/>
    <w:rsid w:val="00AA5697"/>
    <w:rsid w:val="00AA6565"/>
    <w:rsid w:val="00AC4953"/>
    <w:rsid w:val="00AD5E3E"/>
    <w:rsid w:val="00AF325C"/>
    <w:rsid w:val="00B16F8E"/>
    <w:rsid w:val="00BF6DA5"/>
    <w:rsid w:val="00C24964"/>
    <w:rsid w:val="00C52247"/>
    <w:rsid w:val="00C7388E"/>
    <w:rsid w:val="00C92C07"/>
    <w:rsid w:val="00CF69E5"/>
    <w:rsid w:val="00D71F3A"/>
    <w:rsid w:val="00D93387"/>
    <w:rsid w:val="00DC0189"/>
    <w:rsid w:val="00DC7976"/>
    <w:rsid w:val="00DD5D3E"/>
    <w:rsid w:val="00E00A7C"/>
    <w:rsid w:val="00E553C2"/>
    <w:rsid w:val="00EB462D"/>
    <w:rsid w:val="00ED330B"/>
    <w:rsid w:val="00EF6BF4"/>
    <w:rsid w:val="00F12B61"/>
    <w:rsid w:val="00F26641"/>
    <w:rsid w:val="00F3231A"/>
    <w:rsid w:val="00F453FE"/>
    <w:rsid w:val="00F76448"/>
    <w:rsid w:val="00F929E5"/>
    <w:rsid w:val="00FB4AF2"/>
    <w:rsid w:val="00FD490B"/>
    <w:rsid w:val="08CB6DB3"/>
    <w:rsid w:val="08CE0C4F"/>
    <w:rsid w:val="1A7A6A13"/>
    <w:rsid w:val="342147BF"/>
    <w:rsid w:val="589B445C"/>
    <w:rsid w:val="7EB0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2E0033"/>
  <w15:docId w15:val="{8BF4F987-EB7E-4120-9603-5E72468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EF6BF4"/>
    <w:rPr>
      <w:color w:val="0000FF" w:themeColor="hyperlink"/>
      <w:u w:val="single"/>
    </w:rPr>
  </w:style>
  <w:style w:type="paragraph" w:styleId="a9">
    <w:name w:val="List Paragraph"/>
    <w:basedOn w:val="a"/>
    <w:uiPriority w:val="99"/>
    <w:rsid w:val="009F2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赵佳鑫</cp:lastModifiedBy>
  <cp:revision>38</cp:revision>
  <dcterms:created xsi:type="dcterms:W3CDTF">2015-08-20T01:50:00Z</dcterms:created>
  <dcterms:modified xsi:type="dcterms:W3CDTF">2017-08-07T07:22:00Z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