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52578E">
      <w:pPr>
        <w:spacing w:after="0" w:line="560" w:lineRule="exact"/>
        <w:jc w:val="center"/>
        <w:rPr>
          <w:rFonts w:ascii="方正小标宋简体" w:hAnsi="方正小标宋简体" w:eastAsia="方正小标宋简体"/>
          <w:sz w:val="44"/>
          <w:lang w:eastAsia="zh-CN"/>
        </w:rPr>
      </w:pPr>
      <w:r>
        <w:rPr>
          <w:rFonts w:ascii="方正小标宋简体" w:hAnsi="方正小标宋简体" w:eastAsia="方正小标宋简体"/>
          <w:sz w:val="44"/>
          <w:lang w:eastAsia="zh-CN"/>
        </w:rPr>
        <w:t>《求是》杂志发表习近平总书记重要文章《在省部级主要领导干部学习贯彻党的</w:t>
      </w:r>
    </w:p>
    <w:p w14:paraId="2CAE70F7">
      <w:pPr>
        <w:spacing w:after="0" w:line="560" w:lineRule="exact"/>
        <w:jc w:val="center"/>
        <w:rPr>
          <w:lang w:eastAsia="zh-CN"/>
        </w:rPr>
      </w:pPr>
      <w:bookmarkStart w:id="0" w:name="_GoBack"/>
      <w:bookmarkEnd w:id="0"/>
      <w:r>
        <w:rPr>
          <w:rFonts w:ascii="方正小标宋简体" w:hAnsi="方正小标宋简体" w:eastAsia="方正小标宋简体"/>
          <w:sz w:val="44"/>
          <w:lang w:eastAsia="zh-CN"/>
        </w:rPr>
        <w:t>二十届四中全会精神专题研讨班上的讲话》</w:t>
      </w:r>
    </w:p>
    <w:p w14:paraId="3B307E96">
      <w:pPr>
        <w:spacing w:after="0" w:line="560" w:lineRule="exact"/>
        <w:jc w:val="center"/>
        <w:rPr>
          <w:rFonts w:ascii="Times New Roman" w:hAnsi="Times New Roman" w:eastAsia="仿宋_GB2312"/>
          <w:sz w:val="32"/>
          <w:lang w:eastAsia="zh-CN"/>
        </w:rPr>
      </w:pPr>
      <w:r>
        <w:rPr>
          <w:rFonts w:ascii="仿宋_GB2312" w:hAnsi="仿宋_GB2312" w:eastAsia="仿宋_GB2312"/>
          <w:sz w:val="32"/>
          <w:lang w:eastAsia="zh-CN"/>
        </w:rPr>
        <w:t>“学习强国”学习平台</w:t>
      </w:r>
      <w:r>
        <w:rPr>
          <w:rFonts w:ascii="Times New Roman" w:hAnsi="Times New Roman" w:eastAsia="仿宋_GB2312"/>
          <w:sz w:val="32"/>
          <w:lang w:eastAsia="zh-CN"/>
        </w:rPr>
        <w:t>2026</w:t>
      </w:r>
      <w:r>
        <w:rPr>
          <w:rFonts w:ascii="仿宋_GB2312" w:hAnsi="仿宋_GB2312" w:eastAsia="仿宋_GB2312"/>
          <w:sz w:val="32"/>
          <w:lang w:eastAsia="zh-CN"/>
        </w:rPr>
        <w:t>-</w:t>
      </w:r>
      <w:r>
        <w:rPr>
          <w:rFonts w:ascii="Times New Roman" w:hAnsi="Times New Roman" w:eastAsia="仿宋_GB2312"/>
          <w:sz w:val="32"/>
          <w:lang w:eastAsia="zh-CN"/>
        </w:rPr>
        <w:t>04</w:t>
      </w:r>
      <w:r>
        <w:rPr>
          <w:rFonts w:ascii="仿宋_GB2312" w:hAnsi="仿宋_GB2312" w:eastAsia="仿宋_GB2312"/>
          <w:sz w:val="32"/>
          <w:lang w:eastAsia="zh-CN"/>
        </w:rPr>
        <w:t>-</w:t>
      </w:r>
      <w:r>
        <w:rPr>
          <w:rFonts w:ascii="Times New Roman" w:hAnsi="Times New Roman" w:eastAsia="仿宋_GB2312"/>
          <w:sz w:val="32"/>
          <w:lang w:eastAsia="zh-CN"/>
        </w:rPr>
        <w:t>30</w:t>
      </w:r>
    </w:p>
    <w:p w14:paraId="6C1BA197">
      <w:pPr>
        <w:spacing w:after="0" w:line="560" w:lineRule="exact"/>
        <w:jc w:val="center"/>
        <w:rPr>
          <w:lang w:eastAsia="zh-CN"/>
        </w:rPr>
      </w:pPr>
    </w:p>
    <w:p w14:paraId="4E750593">
      <w:pPr>
        <w:spacing w:after="0" w:line="560" w:lineRule="exact"/>
        <w:ind w:firstLine="640"/>
        <w:jc w:val="both"/>
        <w:rPr>
          <w:lang w:eastAsia="zh-CN"/>
        </w:rPr>
      </w:pPr>
      <w:r>
        <w:rPr>
          <w:rFonts w:ascii="仿宋_GB2312" w:hAnsi="仿宋_GB2312" w:eastAsia="仿宋_GB2312"/>
          <w:sz w:val="32"/>
          <w:lang w:eastAsia="zh-CN"/>
        </w:rPr>
        <w:t>新华社北京</w:t>
      </w:r>
      <w:r>
        <w:rPr>
          <w:rFonts w:ascii="Times New Roman" w:hAnsi="Times New Roman" w:eastAsia="仿宋_GB2312"/>
          <w:sz w:val="32"/>
          <w:lang w:eastAsia="zh-CN"/>
        </w:rPr>
        <w:t>4</w:t>
      </w:r>
      <w:r>
        <w:rPr>
          <w:rFonts w:ascii="仿宋_GB2312" w:hAnsi="仿宋_GB2312" w:eastAsia="仿宋_GB2312"/>
          <w:sz w:val="32"/>
          <w:lang w:eastAsia="zh-CN"/>
        </w:rPr>
        <w:t>月</w:t>
      </w:r>
      <w:r>
        <w:rPr>
          <w:rFonts w:ascii="Times New Roman" w:hAnsi="Times New Roman" w:eastAsia="仿宋_GB2312"/>
          <w:sz w:val="32"/>
          <w:lang w:eastAsia="zh-CN"/>
        </w:rPr>
        <w:t>30</w:t>
      </w:r>
      <w:r>
        <w:rPr>
          <w:rFonts w:ascii="仿宋_GB2312" w:hAnsi="仿宋_GB2312" w:eastAsia="仿宋_GB2312"/>
          <w:sz w:val="32"/>
          <w:lang w:eastAsia="zh-CN"/>
        </w:rPr>
        <w:t xml:space="preserve">日电 </w:t>
      </w:r>
      <w:r>
        <w:rPr>
          <w:rFonts w:ascii="Times New Roman" w:hAnsi="Times New Roman" w:eastAsia="仿宋_GB2312"/>
          <w:sz w:val="32"/>
          <w:lang w:eastAsia="zh-CN"/>
        </w:rPr>
        <w:t>5</w:t>
      </w:r>
      <w:r>
        <w:rPr>
          <w:rFonts w:ascii="仿宋_GB2312" w:hAnsi="仿宋_GB2312" w:eastAsia="仿宋_GB2312"/>
          <w:sz w:val="32"/>
          <w:lang w:eastAsia="zh-CN"/>
        </w:rPr>
        <w:t>月</w:t>
      </w:r>
      <w:r>
        <w:rPr>
          <w:rFonts w:ascii="Times New Roman" w:hAnsi="Times New Roman" w:eastAsia="仿宋_GB2312"/>
          <w:sz w:val="32"/>
          <w:lang w:eastAsia="zh-CN"/>
        </w:rPr>
        <w:t>1</w:t>
      </w:r>
      <w:r>
        <w:rPr>
          <w:rFonts w:ascii="仿宋_GB2312" w:hAnsi="仿宋_GB2312" w:eastAsia="仿宋_GB2312"/>
          <w:sz w:val="32"/>
          <w:lang w:eastAsia="zh-CN"/>
        </w:rPr>
        <w:t>日出版的第</w:t>
      </w:r>
      <w:r>
        <w:rPr>
          <w:rFonts w:ascii="Times New Roman" w:hAnsi="Times New Roman" w:eastAsia="仿宋_GB2312"/>
          <w:sz w:val="32"/>
          <w:lang w:eastAsia="zh-CN"/>
        </w:rPr>
        <w:t>9</w:t>
      </w:r>
      <w:r>
        <w:rPr>
          <w:rFonts w:ascii="仿宋_GB2312" w:hAnsi="仿宋_GB2312" w:eastAsia="仿宋_GB2312"/>
          <w:sz w:val="32"/>
          <w:lang w:eastAsia="zh-CN"/>
        </w:rPr>
        <w:t>期《求是》杂志将发表中共中央总书记、国家主席、中央军委主席习近平的重要文章《在省部级主要领导干部学习贯彻党的二十届四中全会精神专题研讨班上的讲话》。</w:t>
      </w:r>
    </w:p>
    <w:p w14:paraId="7A63C45F">
      <w:pPr>
        <w:spacing w:after="0" w:line="560" w:lineRule="exact"/>
        <w:ind w:firstLine="640"/>
        <w:jc w:val="both"/>
        <w:rPr>
          <w:lang w:eastAsia="zh-CN"/>
        </w:rPr>
      </w:pPr>
      <w:r>
        <w:rPr>
          <w:rFonts w:ascii="仿宋_GB2312" w:hAnsi="仿宋_GB2312" w:eastAsia="仿宋_GB2312"/>
          <w:sz w:val="32"/>
          <w:lang w:eastAsia="zh-CN"/>
        </w:rPr>
        <w:t>文章强调，要充分认识制定和实施五年规划是我们的重要政治优势。制定和实施五年规划，有利于实现党的领导，有利于集中力量办大事，有利于前瞻性把握战略问题，有利于保持事业连续性。制定和实施五年规划，是一项政治性、政策性很强的工作，我们党在长期实践中创造积累了丰富经验。主要有：坚持党中央集中统一领导，坚持从实际出发，坚持全国一盘棋，坚持发扬民主、集思广益，坚持规划法定原则。要进一步坚定制度自信，不断结合新的实际把这一优势发扬光大。</w:t>
      </w:r>
    </w:p>
    <w:p w14:paraId="607166E6">
      <w:pPr>
        <w:spacing w:after="0" w:line="560" w:lineRule="exact"/>
        <w:ind w:firstLine="640"/>
        <w:jc w:val="both"/>
        <w:rPr>
          <w:lang w:eastAsia="zh-CN"/>
        </w:rPr>
      </w:pPr>
      <w:r>
        <w:rPr>
          <w:rFonts w:ascii="仿宋_GB2312" w:hAnsi="仿宋_GB2312" w:eastAsia="仿宋_GB2312"/>
          <w:sz w:val="32"/>
          <w:lang w:eastAsia="zh-CN"/>
        </w:rPr>
        <w:t>文章指出，要全面深刻准确领会和把握党的二十届四中全会的战略部署。全面，就是要以全局视野领会《建议》，将“十五五”时期经济社会发展的重大意义、面临形势、指导思想、重要原则、目标任务、政策举措等作为一个整体来把握。深刻，就是要对《建议》各项部署知其然又知其所以然，既明白是什么，又明白为什么、怎么做。准确，就是要精准把握《建议》各项部署的政策界限和尺度，做到该为的必须为、能为的努力为、不该为的决不为。</w:t>
      </w:r>
    </w:p>
    <w:p w14:paraId="79855F17">
      <w:pPr>
        <w:spacing w:after="0" w:line="560" w:lineRule="exact"/>
        <w:ind w:firstLine="640"/>
        <w:jc w:val="both"/>
        <w:rPr>
          <w:lang w:eastAsia="zh-CN"/>
        </w:rPr>
      </w:pPr>
      <w:r>
        <w:rPr>
          <w:rFonts w:ascii="仿宋_GB2312" w:hAnsi="仿宋_GB2312" w:eastAsia="仿宋_GB2312"/>
          <w:sz w:val="32"/>
          <w:lang w:eastAsia="zh-CN"/>
        </w:rPr>
        <w:t>文章指出，要敏锐把握国内外形势新变化。我国发展处于战略机遇和风险挑战并存、不确定难预料因素增多的时期。这是对形势的总体判断。我们分析形势，既要把各种因素考虑周全，又要善于把握其中一些关键因素的新变化，目的在于胸怀全局、登高望远，在战略上保持定力、充满信心，在战术上精心运筹、趋利避害，不断增强我国发展的确定性和可持续性。</w:t>
      </w:r>
    </w:p>
    <w:p w14:paraId="0C9DF7E2">
      <w:pPr>
        <w:spacing w:after="0" w:line="560" w:lineRule="exact"/>
        <w:ind w:firstLine="640"/>
        <w:jc w:val="both"/>
        <w:rPr>
          <w:lang w:eastAsia="zh-CN"/>
        </w:rPr>
      </w:pPr>
      <w:r>
        <w:rPr>
          <w:rFonts w:ascii="仿宋_GB2312" w:hAnsi="仿宋_GB2312" w:eastAsia="仿宋_GB2312"/>
          <w:sz w:val="32"/>
          <w:lang w:eastAsia="zh-CN"/>
        </w:rPr>
        <w:t>文章指出，要扎扎实实建设现代化产业体系。建设现代化产业体系是要实现产业体系整体跃升。各地区各行业要找准定位，坚持智能化、绿色化、融合化方向，充分发挥比较优势，形成上下游产业相互衔接、各展其长、同向发力的生动局面。现代化产业体系的骨干是先进制造业。要保持制造业合理比重、大力发展先进制造业。现代化基础设施是现代化产业体系的有机组成部分。要注意算投入产出账，提高适配度。发展新质生产力是建设现代化产业体系的必然要求。要坚持因地制宜，立足实际推动科技创新和产业创新深度融合。</w:t>
      </w:r>
    </w:p>
    <w:p w14:paraId="233B5CC4">
      <w:pPr>
        <w:spacing w:after="0" w:line="560" w:lineRule="exact"/>
        <w:ind w:firstLine="640"/>
        <w:jc w:val="both"/>
        <w:rPr>
          <w:lang w:eastAsia="zh-CN"/>
        </w:rPr>
      </w:pPr>
      <w:r>
        <w:rPr>
          <w:rFonts w:ascii="仿宋_GB2312" w:hAnsi="仿宋_GB2312" w:eastAsia="仿宋_GB2312"/>
          <w:sz w:val="32"/>
          <w:lang w:eastAsia="zh-CN"/>
        </w:rPr>
        <w:t>文章指出，要以加快构建新发展格局赢得战略主动。我国人口多、市场大、产业全、发展动能强，在全球产业链供应链中的地位难以替代，这是我们经济内生增长、自主发展的底气所在。构建新发展格局，必须坚持以国内大循环为主体，让内需成为我国经济发展的主动力。要正确处理消费和投资、需求和供给的关系，坚持惠民生和促消费、投资于物和投资于人紧密结合，努力提高国民经济循环质量和效率。构建新发展格局必须畅通国内国际双循环。要以做强国内大循环提升扩大高水平对外开放的自主性，以拓展国际循环增强国内改革发展的活力，真正实现内外联通、互促共进。</w:t>
      </w:r>
    </w:p>
    <w:p w14:paraId="37627F81">
      <w:pPr>
        <w:spacing w:after="0" w:line="560" w:lineRule="exact"/>
        <w:ind w:firstLine="640"/>
        <w:jc w:val="both"/>
        <w:rPr>
          <w:lang w:eastAsia="zh-CN"/>
        </w:rPr>
      </w:pPr>
      <w:r>
        <w:rPr>
          <w:rFonts w:ascii="仿宋_GB2312" w:hAnsi="仿宋_GB2312" w:eastAsia="仿宋_GB2312"/>
          <w:sz w:val="32"/>
          <w:lang w:eastAsia="zh-CN"/>
        </w:rPr>
        <w:t>文章指出，要推动经济和社会协调发展。经济发展和社会发展相辅相成，不能一条腿长一条腿短。促进社会发展，改善民生是重点。要把发展经济和改善民生有机统一起来，制定经济发展政策同步嵌入改善民生的要求，制定民生政策同步考虑促进经济发展的效应。促进社会发展，必须抓好社会治理。要坚持党建引领，强化法治保障，夯实基层基础，切实提高社会治理水平。安全是发展的前提。必须统筹发展和安全，深入贯彻总体国家安全观，不断增强经济和社会韧性，全力维护国家安全和社会稳定。</w:t>
      </w:r>
    </w:p>
    <w:p w14:paraId="58C24976">
      <w:pPr>
        <w:spacing w:after="0" w:line="560" w:lineRule="exact"/>
        <w:ind w:firstLine="640"/>
        <w:jc w:val="both"/>
        <w:rPr>
          <w:lang w:eastAsia="zh-CN"/>
        </w:rPr>
      </w:pPr>
      <w:r>
        <w:rPr>
          <w:rFonts w:ascii="仿宋_GB2312" w:hAnsi="仿宋_GB2312" w:eastAsia="仿宋_GB2312"/>
          <w:sz w:val="32"/>
          <w:lang w:eastAsia="zh-CN"/>
        </w:rPr>
        <w:t>文章指出，科学编制规划，务必贯彻定位准确、边界清晰、功能互补、统一衔接的要求，坚持科学决策、民主决策、依法决策。地方规划和各有关领域专项规划要与国家整体规划衔接好，体现国家整体规划的精神和要求，同时要因地因事制宜，把需要和可能统一起来，确保定了就做得到、能落地见效。</w:t>
      </w:r>
    </w:p>
    <w:p w14:paraId="13C3173B">
      <w:pPr>
        <w:spacing w:after="0" w:line="560" w:lineRule="exact"/>
        <w:ind w:firstLine="640"/>
        <w:jc w:val="both"/>
        <w:rPr>
          <w:rFonts w:hint="eastAsia" w:eastAsia="宋体"/>
          <w:lang w:eastAsia="zh-CN"/>
        </w:rPr>
      </w:pPr>
      <w:r>
        <w:rPr>
          <w:rFonts w:ascii="仿宋_GB2312" w:hAnsi="仿宋_GB2312" w:eastAsia="仿宋_GB2312"/>
          <w:sz w:val="32"/>
          <w:lang w:eastAsia="zh-CN"/>
        </w:rPr>
        <w:t>文章强调，要着力提高党领导经济社会发展能力和水平。第一，进一步加强学习。钻研党的创新理论，吃透党中央大政方针和决策部署，提高政治能力和战略思维能力，提高专业素养，不断在实践中增强现代化建设本领。第二，树立和践行正确政绩观。坚持从实际出发、按规律办事，通过科学决策和实干苦干，创造经得起实践和历史检验、真正造福人民、得到群众公认的业绩。第三，大力弘扬斗争精神。敢于斗争、善于斗争，及时果断消除风险隐患，努力把不利因素转化为克敌制胜的有利条件。第四，坚定不移惩治腐败。始终保持反腐败高压态势，一步不停歇、半步不退让，一体推进不敢腐、不能腐、不想腐，切实把权力关进制度笼子，着力铲除腐败滋生的土壤和条件。</w:t>
      </w:r>
    </w:p>
    <w:sectPr>
      <w:footerReference r:id="rId5" w:type="default"/>
      <w:pgSz w:w="12240" w:h="15840"/>
      <w:pgMar w:top="1440" w:right="1797" w:bottom="1440" w:left="1797"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embedRegular r:id="rId1" w:fontKey="{9E78D8D3-86CF-4F1E-988D-5532AEF053F7}"/>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70409020205020404"/>
    <w:charset w:val="00"/>
    <w:family w:val="auto"/>
    <w:pitch w:val="default"/>
    <w:sig w:usb0="00000000" w:usb1="00000000" w:usb2="00000000" w:usb3="00000000" w:csb0="00000001" w:csb1="00000000"/>
  </w:font>
  <w:font w:name="方正小标宋简体">
    <w:panose1 w:val="02010600010101010101"/>
    <w:charset w:val="86"/>
    <w:family w:val="auto"/>
    <w:pitch w:val="default"/>
    <w:sig w:usb0="00000001" w:usb1="080E0000" w:usb2="00000000" w:usb3="00000000" w:csb0="00040000" w:csb1="00000000"/>
    <w:embedRegular r:id="rId2" w:fontKey="{1AD26788-08AD-4BBB-BB66-45D4869AA34C}"/>
  </w:font>
  <w:font w:name="仿宋_GB2312">
    <w:altName w:val="仿宋"/>
    <w:panose1 w:val="02010609030101010101"/>
    <w:charset w:val="86"/>
    <w:family w:val="modern"/>
    <w:pitch w:val="default"/>
    <w:sig w:usb0="00000000" w:usb1="00000000" w:usb2="00000010" w:usb3="00000000" w:csb0="00040000" w:csb1="00000000"/>
    <w:embedRegular r:id="rId3" w:fontKey="{ECD9FEE1-D1D9-4643-B778-862D787E174E}"/>
  </w:font>
  <w:font w:name="ＭＳ 明朝">
    <w:altName w:val="Segoe Print"/>
    <w:panose1 w:val="00000000000000000000"/>
    <w:charset w:val="00"/>
    <w:family w:val="auto"/>
    <w:pitch w:val="default"/>
    <w:sig w:usb0="00000000" w:usb1="00000000" w:usb2="00000000" w:usb3="00000000" w:csb0="00000000" w:csb1="00000000"/>
    <w:embedRegular r:id="rId4" w:fontKey="{1CEE11BE-C463-4DC0-BE89-81CF0CC4C09E}"/>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DBB1A">
    <w:pPr>
      <w:pStyle w:val="24"/>
      <w:jc w:val="center"/>
    </w:pPr>
    <w:r>
      <w:rPr>
        <w:rFonts w:ascii="宋体" w:hAnsi="宋体" w:eastAsia="宋体"/>
        <w:sz w:val="28"/>
      </w:rPr>
      <w:fldChar w:fldCharType="begin"/>
    </w:r>
    <w:r>
      <w:rPr>
        <w:rFonts w:ascii="宋体" w:hAnsi="宋体" w:eastAsia="宋体"/>
        <w:sz w:val="28"/>
      </w:rPr>
      <w:instrText xml:space="preserve">PAGE</w:instrText>
    </w:r>
    <w:r>
      <w:rPr>
        <w:rFonts w:hint="eastAsia" w:ascii="宋体" w:hAnsi="宋体" w:eastAsia="宋体"/>
        <w:sz w:val="28"/>
      </w:rPr>
      <w:fldChar w:fldCharType="separate"/>
    </w:r>
    <w:r>
      <w:rPr>
        <w:rFonts w:hint="eastAsia" w:ascii="宋体" w:hAnsi="宋体" w:eastAsia="宋体"/>
        <w:sz w:val="28"/>
      </w:rPr>
      <w:t>1</w:t>
    </w:r>
    <w:r>
      <w:rPr>
        <w:rFonts w:ascii="宋体" w:hAnsi="宋体" w:eastAsia="宋体"/>
        <w:sz w:val="2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2F4768"/>
    <w:rsid w:val="00326F90"/>
    <w:rsid w:val="00605FDB"/>
    <w:rsid w:val="00A535E5"/>
    <w:rsid w:val="00AA1D8D"/>
    <w:rsid w:val="00B47730"/>
    <w:rsid w:val="00BE4B6E"/>
    <w:rsid w:val="00CB0664"/>
    <w:rsid w:val="00FA2E89"/>
    <w:rsid w:val="00FC693F"/>
    <w:rsid w:val="7AC4726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2">
    <w:name w:val="macro"/>
    <w:link w:val="147"/>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6"/>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4"/>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5"/>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4">
    <w:name w:val="Light Shading"/>
    <w:basedOn w:val="32"/>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页眉 字符"/>
    <w:basedOn w:val="132"/>
    <w:link w:val="25"/>
    <w:uiPriority w:val="99"/>
  </w:style>
  <w:style w:type="character" w:customStyle="1" w:styleId="136">
    <w:name w:val="页脚 字符"/>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标题 1 字符"/>
    <w:basedOn w:val="132"/>
    <w:link w:val="3"/>
    <w:uiPriority w:val="9"/>
    <w:rPr>
      <w:rFonts w:asciiTheme="majorHAnsi" w:hAnsiTheme="majorHAnsi" w:eastAsiaTheme="majorEastAsia" w:cstheme="majorBidi"/>
      <w:b/>
      <w:bCs/>
      <w:color w:val="376092" w:themeColor="accent1" w:themeShade="BF"/>
      <w:sz w:val="28"/>
      <w:szCs w:val="28"/>
    </w:rPr>
  </w:style>
  <w:style w:type="character" w:customStyle="1" w:styleId="139">
    <w:name w:val="标题 2 字符"/>
    <w:basedOn w:val="132"/>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标题 3 字符"/>
    <w:basedOn w:val="132"/>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标题 字符"/>
    <w:basedOn w:val="132"/>
    <w:link w:val="31"/>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副标题 字符"/>
    <w:basedOn w:val="132"/>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正文文本 字符"/>
    <w:basedOn w:val="132"/>
    <w:link w:val="19"/>
    <w:uiPriority w:val="99"/>
  </w:style>
  <w:style w:type="character" w:customStyle="1" w:styleId="145">
    <w:name w:val="正文文本 2 字符"/>
    <w:basedOn w:val="132"/>
    <w:link w:val="28"/>
    <w:uiPriority w:val="99"/>
  </w:style>
  <w:style w:type="character" w:customStyle="1" w:styleId="146">
    <w:name w:val="正文文本 3 字符"/>
    <w:basedOn w:val="132"/>
    <w:link w:val="17"/>
    <w:uiPriority w:val="99"/>
    <w:rPr>
      <w:sz w:val="16"/>
      <w:szCs w:val="16"/>
    </w:rPr>
  </w:style>
  <w:style w:type="character" w:customStyle="1" w:styleId="147">
    <w:name w:val="宏文本 字符"/>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引用 字符"/>
    <w:basedOn w:val="132"/>
    <w:link w:val="148"/>
    <w:uiPriority w:val="29"/>
    <w:rPr>
      <w:i/>
      <w:iCs/>
      <w:color w:val="000000" w:themeColor="text1"/>
      <w14:textFill>
        <w14:solidFill>
          <w14:schemeClr w14:val="tx1"/>
        </w14:solidFill>
      </w14:textFill>
    </w:rPr>
  </w:style>
  <w:style w:type="character" w:customStyle="1" w:styleId="150">
    <w:name w:val="标题 4 字符"/>
    <w:basedOn w:val="132"/>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标题 5 字符"/>
    <w:basedOn w:val="132"/>
    <w:link w:val="7"/>
    <w:semiHidden/>
    <w:uiPriority w:val="9"/>
    <w:rPr>
      <w:rFonts w:asciiTheme="majorHAnsi" w:hAnsiTheme="majorHAnsi" w:eastAsiaTheme="majorEastAsia" w:cstheme="majorBidi"/>
      <w:color w:val="254061" w:themeColor="accent1" w:themeShade="80"/>
    </w:rPr>
  </w:style>
  <w:style w:type="character" w:customStyle="1" w:styleId="152">
    <w:name w:val="标题 6 字符"/>
    <w:basedOn w:val="132"/>
    <w:link w:val="8"/>
    <w:semiHidden/>
    <w:uiPriority w:val="9"/>
    <w:rPr>
      <w:rFonts w:asciiTheme="majorHAnsi" w:hAnsiTheme="majorHAnsi" w:eastAsiaTheme="majorEastAsia" w:cstheme="majorBidi"/>
      <w:i/>
      <w:iCs/>
      <w:color w:val="254061" w:themeColor="accent1" w:themeShade="80"/>
    </w:rPr>
  </w:style>
  <w:style w:type="character" w:customStyle="1" w:styleId="153">
    <w:name w:val="标题 7 字符"/>
    <w:basedOn w:val="132"/>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标题 8 字符"/>
    <w:basedOn w:val="132"/>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标题 9 字符"/>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明显引用 字符"/>
    <w:basedOn w:val="132"/>
    <w:link w:val="156"/>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1874</Words>
  <Characters>1884</Characters>
  <Lines>13</Lines>
  <Paragraphs>3</Paragraphs>
  <TotalTime>1</TotalTime>
  <ScaleCrop>false</ScaleCrop>
  <LinksUpToDate>false</LinksUpToDate>
  <CharactersWithSpaces>1885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伯安</cp:lastModifiedBy>
  <dcterms:modified xsi:type="dcterms:W3CDTF">2026-05-07T15:24:11Z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eyJoZGlkIjoiMGY3NjMzM2JiYjc3N2ZjNTc5MTczYzI1MDVlN2RlMDciLCJ1c2VySWQiOiI2MzkzODgxMTgifQ==</vt:lpwstr>
  </property>
  <property fmtid="{D5CDD505-2E9C-101B-9397-08002B2CF9AE}" pid="3" name="KSOProductBuildVer">
    <vt:lpwstr>2052-12.1.0.25865</vt:lpwstr>
  </property>
  <property fmtid="{D5CDD505-2E9C-101B-9397-08002B2CF9AE}" pid="4" name="ICV">
    <vt:lpwstr>774810EBCC2C40A6BA384C62863497CD_12</vt:lpwstr>
  </property>
</Properties>
</file>